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C" w:rsidRPr="00B8347F" w:rsidRDefault="0099621C" w:rsidP="008F2D48">
      <w:pPr>
        <w:jc w:val="center"/>
        <w:rPr>
          <w:rFonts w:ascii="Tahoma" w:hAnsi="Tahoma" w:cs="Tahoma"/>
        </w:rPr>
      </w:pPr>
    </w:p>
    <w:p w:rsidR="008F2D48" w:rsidRPr="00B8347F" w:rsidRDefault="008F2D48" w:rsidP="00E61D2F">
      <w:pPr>
        <w:jc w:val="both"/>
        <w:rPr>
          <w:rFonts w:ascii="Tahoma" w:hAnsi="Tahoma" w:cs="Tahoma"/>
        </w:rPr>
      </w:pPr>
      <w:r w:rsidRPr="00B8347F">
        <w:rPr>
          <w:rFonts w:ascii="Tahoma" w:hAnsi="Tahoma" w:cs="Tahoma"/>
        </w:rPr>
        <w:tab/>
        <w:t>На основу члана 10. став. 4. Правилника о минималним условима за стицање звања наставника на Универзитету у Београду („Гласник Универзитета у Београду“ бр. 192/16, 195/16, 199/17, 203/18 и 223/21), подносим следећи</w:t>
      </w:r>
    </w:p>
    <w:p w:rsidR="008F2D48" w:rsidRPr="00B8347F" w:rsidRDefault="008F2D48">
      <w:pPr>
        <w:rPr>
          <w:rFonts w:ascii="Tahoma" w:hAnsi="Tahoma" w:cs="Tahoma"/>
        </w:rPr>
      </w:pPr>
    </w:p>
    <w:p w:rsidR="004A6483" w:rsidRPr="00B8347F" w:rsidRDefault="004A6483" w:rsidP="008F2D48">
      <w:pPr>
        <w:jc w:val="center"/>
        <w:rPr>
          <w:rFonts w:ascii="Tahoma" w:hAnsi="Tahoma" w:cs="Tahoma"/>
        </w:rPr>
      </w:pPr>
    </w:p>
    <w:p w:rsidR="008F2D48" w:rsidRPr="00B8347F" w:rsidRDefault="008F2D48" w:rsidP="008F2D48">
      <w:pPr>
        <w:jc w:val="center"/>
        <w:rPr>
          <w:rFonts w:ascii="Tahoma" w:hAnsi="Tahoma" w:cs="Tahoma"/>
        </w:rPr>
      </w:pPr>
      <w:r w:rsidRPr="00B8347F">
        <w:rPr>
          <w:rFonts w:ascii="Tahoma" w:hAnsi="Tahoma" w:cs="Tahoma"/>
        </w:rPr>
        <w:t>ИЗВЕШТАЈ О РАДУ</w:t>
      </w:r>
    </w:p>
    <w:p w:rsidR="008F2D48" w:rsidRPr="00B8347F" w:rsidRDefault="008F2D48">
      <w:pPr>
        <w:rPr>
          <w:rFonts w:ascii="Tahoma" w:hAnsi="Tahoma" w:cs="Tahoma"/>
        </w:rPr>
      </w:pPr>
    </w:p>
    <w:p w:rsidR="008F2D48" w:rsidRPr="00B8347F" w:rsidRDefault="008F2D48" w:rsidP="004A6483">
      <w:pPr>
        <w:jc w:val="both"/>
        <w:rPr>
          <w:rFonts w:ascii="Tahoma" w:hAnsi="Tahoma" w:cs="Tahoma"/>
        </w:rPr>
      </w:pPr>
    </w:p>
    <w:p w:rsidR="001E10A2" w:rsidRPr="00B8347F" w:rsidRDefault="008F2D48" w:rsidP="004A6483">
      <w:pPr>
        <w:ind w:firstLine="720"/>
        <w:jc w:val="both"/>
        <w:rPr>
          <w:rFonts w:ascii="Tahoma" w:hAnsi="Tahoma" w:cs="Tahoma"/>
        </w:rPr>
      </w:pPr>
      <w:r w:rsidRPr="00B8347F">
        <w:rPr>
          <w:rFonts w:ascii="Tahoma" w:hAnsi="Tahoma" w:cs="Tahoma"/>
        </w:rPr>
        <w:t xml:space="preserve">Овај извештај се односи на рад проф. </w:t>
      </w:r>
      <w:r w:rsidR="00D44128">
        <w:rPr>
          <w:rFonts w:ascii="Tahoma" w:hAnsi="Tahoma" w:cs="Tahoma"/>
          <w:lang/>
        </w:rPr>
        <w:t>д</w:t>
      </w:r>
      <w:r w:rsidRPr="00B8347F">
        <w:rPr>
          <w:rFonts w:ascii="Tahoma" w:hAnsi="Tahoma" w:cs="Tahoma"/>
        </w:rPr>
        <w:t>р</w:t>
      </w:r>
      <w:r w:rsidR="00D44128">
        <w:rPr>
          <w:rFonts w:ascii="Tahoma" w:hAnsi="Tahoma" w:cs="Tahoma"/>
          <w:lang/>
        </w:rPr>
        <w:t xml:space="preserve"> Весне Тодорчевић</w:t>
      </w:r>
      <w:r w:rsidRPr="00B8347F">
        <w:rPr>
          <w:rFonts w:ascii="Tahoma" w:hAnsi="Tahoma" w:cs="Tahoma"/>
        </w:rPr>
        <w:t xml:space="preserve">, редовног професора Факултета организационих наука у току </w:t>
      </w:r>
      <w:r w:rsidR="003A47B3" w:rsidRPr="00B8347F">
        <w:rPr>
          <w:rFonts w:ascii="Tahoma" w:hAnsi="Tahoma" w:cs="Tahoma"/>
        </w:rPr>
        <w:t xml:space="preserve">претходног </w:t>
      </w:r>
      <w:r w:rsidRPr="00B8347F">
        <w:rPr>
          <w:rFonts w:ascii="Tahoma" w:hAnsi="Tahoma" w:cs="Tahoma"/>
        </w:rPr>
        <w:t>петогодишњег периода</w:t>
      </w:r>
      <w:r w:rsidR="004A6483" w:rsidRPr="00B8347F">
        <w:rPr>
          <w:rFonts w:ascii="Tahoma" w:hAnsi="Tahoma" w:cs="Tahoma"/>
        </w:rPr>
        <w:t xml:space="preserve">, односно за период од </w:t>
      </w:r>
      <w:r w:rsidR="00D44128">
        <w:rPr>
          <w:rFonts w:ascii="Tahoma" w:hAnsi="Tahoma" w:cs="Tahoma"/>
          <w:lang/>
        </w:rPr>
        <w:t>15.5.2019.</w:t>
      </w:r>
      <w:r w:rsidR="009E42FF">
        <w:rPr>
          <w:rFonts w:ascii="Tahoma" w:hAnsi="Tahoma" w:cs="Tahoma"/>
        </w:rPr>
        <w:t>године</w:t>
      </w:r>
      <w:r w:rsidR="009730DA">
        <w:rPr>
          <w:rFonts w:ascii="Tahoma" w:hAnsi="Tahoma" w:cs="Tahoma"/>
          <w:lang/>
        </w:rPr>
        <w:t>,</w:t>
      </w:r>
      <w:r w:rsidR="009E42FF">
        <w:rPr>
          <w:rFonts w:ascii="Tahoma" w:hAnsi="Tahoma" w:cs="Tahoma"/>
        </w:rPr>
        <w:t xml:space="preserve"> до </w:t>
      </w:r>
      <w:r w:rsidR="00D44128">
        <w:rPr>
          <w:rFonts w:ascii="Tahoma" w:hAnsi="Tahoma" w:cs="Tahoma"/>
          <w:lang/>
        </w:rPr>
        <w:t>15.5.2024.</w:t>
      </w:r>
      <w:r w:rsidR="004A6483" w:rsidRPr="00B8347F">
        <w:rPr>
          <w:rFonts w:ascii="Tahoma" w:hAnsi="Tahoma" w:cs="Tahoma"/>
        </w:rPr>
        <w:t xml:space="preserve"> године:</w:t>
      </w:r>
    </w:p>
    <w:p w:rsidR="001E10A2" w:rsidRPr="00B8347F" w:rsidRDefault="001E10A2" w:rsidP="003A47B3">
      <w:pPr>
        <w:ind w:firstLine="720"/>
        <w:rPr>
          <w:rFonts w:ascii="Tahoma" w:hAnsi="Tahoma" w:cs="Tahoma"/>
        </w:rPr>
      </w:pPr>
    </w:p>
    <w:p w:rsidR="001E10A2" w:rsidRPr="00B8347F" w:rsidRDefault="001E10A2" w:rsidP="003A47B3">
      <w:pPr>
        <w:ind w:firstLine="720"/>
        <w:rPr>
          <w:rFonts w:ascii="Tahoma" w:hAnsi="Tahoma" w:cs="Tahoma"/>
        </w:rPr>
      </w:pPr>
    </w:p>
    <w:p w:rsidR="001E10A2" w:rsidRPr="00B8347F" w:rsidRDefault="001E10A2" w:rsidP="001E10A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8347F">
        <w:rPr>
          <w:rFonts w:ascii="Tahoma" w:hAnsi="Tahoma" w:cs="Tahoma"/>
        </w:rPr>
        <w:t>Биографски подаци</w:t>
      </w:r>
    </w:p>
    <w:p w:rsidR="009B2C89" w:rsidRPr="009B2C89" w:rsidRDefault="009B2C89" w:rsidP="009B2C89">
      <w:pPr>
        <w:rPr>
          <w:rFonts w:ascii="Tahoma" w:hAnsi="Tahoma" w:cs="Tahoma"/>
        </w:rPr>
      </w:pPr>
      <w:r w:rsidRPr="009B2C89">
        <w:rPr>
          <w:rFonts w:ascii="Tahoma" w:hAnsi="Tahoma" w:cs="Tahoma"/>
        </w:rPr>
        <w:t>Весна Тодорчевић је рођена 26. децембра 1974. године у Панчеву. Основну школу је завршила у Земуну 1989. године као ђак генерације и добитник Вукове дипломе. Као ученица VIII разреда освојила је II награду на савезном такмичењу из математике у Бања Луци школске 1988/89 године. Након завршетка Математичке гимназије 1993. године уписује Математички факултет у Београду, смер Теоријска математика и применe, где дипломира у октобру 1998. године са просечном оценом 8,39 и исте године наставља последипломске студије, смер Анализа. Све испите на последипломским студијама положила је са оценом 10 и у јуну 2007. године одбранила магистарску тезу „Метрички простори и квазиконформна пресликавања“ под руководством ментора, у то време ванредног професора Милоша Арсеновића и коментора професора Мати Воринена са  Универзитета Турку у Финској, светски признатог стручњака у овој области и тиме стекла академски назив магистра математике. Докторску дисертацију „Модули непрекидности квазирегуларних пресликавања“ одбранила је 18.8.2008. године на истом факултету, под менторством професора  Миодрага Матељевића, професора тог факултета и коменторством професора Мати Воринена и тиме стекла академски назив доктора математике.</w:t>
      </w:r>
    </w:p>
    <w:p w:rsidR="009B2C89" w:rsidRPr="009B2C89" w:rsidRDefault="009B2C89" w:rsidP="009B2C89">
      <w:pPr>
        <w:rPr>
          <w:rFonts w:ascii="Tahoma" w:hAnsi="Tahoma" w:cs="Tahoma"/>
        </w:rPr>
      </w:pPr>
      <w:r w:rsidRPr="009B2C89">
        <w:rPr>
          <w:rFonts w:ascii="Tahoma" w:hAnsi="Tahoma" w:cs="Tahoma"/>
        </w:rPr>
        <w:t>Од марта до септембра 1999. године радила је на Пољопривредном факултету у Земуну као сарадник на пројекту Катедре за математику и као сарадник на пројекту „Музика и математика“ професора Милоша Чанка. Од септембра 1999. до јуна 2006. године радила је као професор у Математичкој гимназији у Београду.</w:t>
      </w:r>
    </w:p>
    <w:p w:rsidR="009B2C89" w:rsidRPr="009B2C89" w:rsidRDefault="009B2C89" w:rsidP="009B2C89">
      <w:pPr>
        <w:rPr>
          <w:rFonts w:ascii="Tahoma" w:hAnsi="Tahoma" w:cs="Tahoma"/>
        </w:rPr>
      </w:pPr>
    </w:p>
    <w:p w:rsidR="009B2C89" w:rsidRPr="009B2C89" w:rsidRDefault="009B2C89" w:rsidP="009B2C89">
      <w:pPr>
        <w:rPr>
          <w:rFonts w:ascii="Tahoma" w:hAnsi="Tahoma" w:cs="Tahoma"/>
        </w:rPr>
      </w:pPr>
      <w:r w:rsidRPr="009B2C89">
        <w:rPr>
          <w:rFonts w:ascii="Tahoma" w:hAnsi="Tahoma" w:cs="Tahoma"/>
        </w:rPr>
        <w:lastRenderedPageBreak/>
        <w:t xml:space="preserve">Од октобра 2001. године ради на Факултету организационих наука у Београду, прво као хонорарни сарадник, а децембра 2004. бирана је у звању асистента приправника, новембра 2007. у звање асистента, маја 2009. у звање доцента, децембра 2013. у звање ванредног професора и маја 2019. у звање редовног професора на овом факултету. </w:t>
      </w:r>
    </w:p>
    <w:p w:rsidR="009B2C89" w:rsidRPr="009B2C89" w:rsidRDefault="009B2C89" w:rsidP="009B2C89">
      <w:pPr>
        <w:rPr>
          <w:rFonts w:ascii="Tahoma" w:hAnsi="Tahoma" w:cs="Tahoma"/>
        </w:rPr>
      </w:pPr>
      <w:r w:rsidRPr="009B2C89">
        <w:rPr>
          <w:rFonts w:ascii="Tahoma" w:hAnsi="Tahoma" w:cs="Tahoma"/>
        </w:rPr>
        <w:t>Од октобра 2011. године ангажована је са 30% радног времена у Математичком институту САНУ у Београду, где је ј</w:t>
      </w:r>
      <w:r>
        <w:rPr>
          <w:rFonts w:ascii="Tahoma" w:hAnsi="Tahoma" w:cs="Tahoma"/>
          <w:lang/>
        </w:rPr>
        <w:t xml:space="preserve">ануара </w:t>
      </w:r>
      <w:r w:rsidRPr="009B2C89">
        <w:rPr>
          <w:rFonts w:ascii="Tahoma" w:hAnsi="Tahoma" w:cs="Tahoma"/>
        </w:rPr>
        <w:t>20</w:t>
      </w:r>
      <w:r>
        <w:rPr>
          <w:rFonts w:ascii="Tahoma" w:hAnsi="Tahoma" w:cs="Tahoma"/>
          <w:lang/>
        </w:rPr>
        <w:t>20</w:t>
      </w:r>
      <w:r w:rsidRPr="009B2C89">
        <w:rPr>
          <w:rFonts w:ascii="Tahoma" w:hAnsi="Tahoma" w:cs="Tahoma"/>
        </w:rPr>
        <w:t>. године изабрана у звање научног са</w:t>
      </w:r>
      <w:r>
        <w:rPr>
          <w:rFonts w:ascii="Tahoma" w:hAnsi="Tahoma" w:cs="Tahoma"/>
          <w:lang/>
        </w:rPr>
        <w:t>ветника</w:t>
      </w:r>
      <w:r w:rsidRPr="009B2C89">
        <w:rPr>
          <w:rFonts w:ascii="Tahoma" w:hAnsi="Tahoma" w:cs="Tahoma"/>
        </w:rPr>
        <w:t xml:space="preserve">. </w:t>
      </w:r>
      <w:r>
        <w:rPr>
          <w:rFonts w:ascii="Tahoma" w:hAnsi="Tahoma" w:cs="Tahoma"/>
          <w:lang/>
        </w:rPr>
        <w:t>А</w:t>
      </w:r>
      <w:r w:rsidRPr="009B2C89">
        <w:rPr>
          <w:rFonts w:ascii="Tahoma" w:hAnsi="Tahoma" w:cs="Tahoma"/>
        </w:rPr>
        <w:t xml:space="preserve">нгажована је на </w:t>
      </w:r>
      <w:r w:rsidR="00E45C44">
        <w:rPr>
          <w:rFonts w:ascii="Tahoma" w:hAnsi="Tahoma" w:cs="Tahoma"/>
          <w:lang/>
        </w:rPr>
        <w:t xml:space="preserve">мултидисциплинарним </w:t>
      </w:r>
      <w:r w:rsidRPr="009B2C89">
        <w:rPr>
          <w:rFonts w:ascii="Tahoma" w:hAnsi="Tahoma" w:cs="Tahoma"/>
        </w:rPr>
        <w:t>докторским студијама при Универзитету у Београду, где је увела нови предмет Математичка теорија музике. Учеств</w:t>
      </w:r>
      <w:r>
        <w:rPr>
          <w:rFonts w:ascii="Tahoma" w:hAnsi="Tahoma" w:cs="Tahoma"/>
          <w:lang/>
        </w:rPr>
        <w:t>овала је</w:t>
      </w:r>
      <w:r w:rsidRPr="009B2C89">
        <w:rPr>
          <w:rFonts w:ascii="Tahoma" w:hAnsi="Tahoma" w:cs="Tahoma"/>
        </w:rPr>
        <w:t xml:space="preserve"> у извођењу наставе и на предмету Историја математике. </w:t>
      </w:r>
      <w:bookmarkStart w:id="0" w:name="_Hlk165218330"/>
      <w:r w:rsidR="00E45C44">
        <w:rPr>
          <w:rFonts w:ascii="Tahoma" w:hAnsi="Tahoma" w:cs="Tahoma"/>
          <w:lang/>
        </w:rPr>
        <w:t>Од октобра 2021.до октобра 2022. б</w:t>
      </w:r>
      <w:r>
        <w:rPr>
          <w:rFonts w:ascii="Tahoma" w:hAnsi="Tahoma" w:cs="Tahoma"/>
          <w:lang/>
        </w:rPr>
        <w:t>ила</w:t>
      </w:r>
      <w:r w:rsidRPr="009B2C89">
        <w:rPr>
          <w:rFonts w:ascii="Tahoma" w:hAnsi="Tahoma" w:cs="Tahoma"/>
        </w:rPr>
        <w:t xml:space="preserve"> је </w:t>
      </w:r>
      <w:r>
        <w:rPr>
          <w:rFonts w:ascii="Tahoma" w:hAnsi="Tahoma" w:cs="Tahoma"/>
          <w:lang/>
        </w:rPr>
        <w:t xml:space="preserve">председник </w:t>
      </w:r>
      <w:r w:rsidRPr="009B2C89">
        <w:rPr>
          <w:rFonts w:ascii="Tahoma" w:hAnsi="Tahoma" w:cs="Tahoma"/>
        </w:rPr>
        <w:t>Програмског савета</w:t>
      </w:r>
      <w:r>
        <w:rPr>
          <w:rFonts w:ascii="Tahoma" w:hAnsi="Tahoma" w:cs="Tahoma"/>
          <w:lang/>
        </w:rPr>
        <w:t xml:space="preserve"> и руководилац</w:t>
      </w:r>
      <w:r w:rsidRPr="009B2C89">
        <w:rPr>
          <w:rFonts w:ascii="Tahoma" w:hAnsi="Tahoma" w:cs="Tahoma"/>
        </w:rPr>
        <w:t xml:space="preserve"> студијског програма Историја и филозофија природних наука и технологије на коме се поменути предмети налазе.</w:t>
      </w:r>
    </w:p>
    <w:bookmarkEnd w:id="0"/>
    <w:p w:rsidR="00462550" w:rsidRPr="00462550" w:rsidRDefault="00462550" w:rsidP="002D5CB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lang/>
        </w:rPr>
        <w:t>Педагошко искуство</w:t>
      </w:r>
    </w:p>
    <w:p w:rsidR="00462550" w:rsidRDefault="00462550" w:rsidP="00462550">
      <w:pPr>
        <w:pStyle w:val="ListParagraph"/>
        <w:ind w:left="1080"/>
        <w:rPr>
          <w:rFonts w:ascii="Tahoma" w:hAnsi="Tahoma" w:cs="Tahoma"/>
        </w:rPr>
      </w:pPr>
    </w:p>
    <w:p w:rsidR="00A77D63" w:rsidRPr="000D3EA4" w:rsidRDefault="008E3503" w:rsidP="000D3EA4">
      <w:pPr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 xml:space="preserve">Професор Весна Тодорчевић </w:t>
      </w:r>
      <w:r w:rsidR="00202A2D">
        <w:rPr>
          <w:rFonts w:ascii="Tahoma" w:hAnsi="Tahoma" w:cs="Tahoma"/>
          <w:lang/>
        </w:rPr>
        <w:t>учествовала је у извођењу</w:t>
      </w:r>
      <w:r w:rsidR="001526F3">
        <w:rPr>
          <w:rFonts w:ascii="Tahoma" w:hAnsi="Tahoma" w:cs="Tahoma"/>
          <w:lang/>
        </w:rPr>
        <w:t xml:space="preserve"> предавања из предмета Математика</w:t>
      </w:r>
      <w:r w:rsidR="00FB0C6D">
        <w:rPr>
          <w:rFonts w:ascii="Tahoma" w:hAnsi="Tahoma" w:cs="Tahoma"/>
          <w:lang/>
        </w:rPr>
        <w:t xml:space="preserve"> </w:t>
      </w:r>
      <w:r w:rsidR="001526F3">
        <w:rPr>
          <w:rFonts w:ascii="Tahoma" w:hAnsi="Tahoma" w:cs="Tahoma"/>
          <w:lang/>
        </w:rPr>
        <w:t>1, Математика</w:t>
      </w:r>
      <w:r w:rsidR="00FB0C6D">
        <w:rPr>
          <w:rFonts w:ascii="Tahoma" w:hAnsi="Tahoma" w:cs="Tahoma"/>
          <w:lang/>
        </w:rPr>
        <w:t xml:space="preserve"> </w:t>
      </w:r>
      <w:r w:rsidR="001526F3">
        <w:rPr>
          <w:rFonts w:ascii="Tahoma" w:hAnsi="Tahoma" w:cs="Tahoma"/>
          <w:lang/>
        </w:rPr>
        <w:t>2 и Дискретне математичке структуре</w:t>
      </w:r>
      <w:r w:rsidR="006842C6">
        <w:rPr>
          <w:rFonts w:ascii="Tahoma" w:hAnsi="Tahoma" w:cs="Tahoma"/>
          <w:lang/>
        </w:rPr>
        <w:t>.</w:t>
      </w:r>
      <w:r w:rsidR="00196AAE">
        <w:rPr>
          <w:rFonts w:ascii="Tahoma" w:hAnsi="Tahoma" w:cs="Tahoma"/>
          <w:lang/>
        </w:rPr>
        <w:t xml:space="preserve"> Ангажована је и на изборним предметима </w:t>
      </w:r>
      <w:r w:rsidR="00503467">
        <w:rPr>
          <w:rFonts w:ascii="Tahoma" w:hAnsi="Tahoma" w:cs="Tahoma"/>
          <w:lang/>
        </w:rPr>
        <w:t xml:space="preserve">на основним студијама Математика и музика, </w:t>
      </w:r>
      <w:r w:rsidR="0096150F">
        <w:rPr>
          <w:rFonts w:ascii="Tahoma" w:hAnsi="Tahoma" w:cs="Tahoma"/>
          <w:lang/>
        </w:rPr>
        <w:t>на мастер студијама Методе и алгоритми дискретне математике у музици</w:t>
      </w:r>
      <w:r w:rsidR="001272CE">
        <w:rPr>
          <w:rFonts w:ascii="Tahoma" w:hAnsi="Tahoma" w:cs="Tahoma"/>
          <w:lang/>
        </w:rPr>
        <w:t xml:space="preserve">, које је увела, као </w:t>
      </w:r>
      <w:r w:rsidR="00FF536B">
        <w:rPr>
          <w:rFonts w:ascii="Tahoma" w:hAnsi="Tahoma" w:cs="Tahoma"/>
          <w:lang/>
        </w:rPr>
        <w:t>и на докторским студијама</w:t>
      </w:r>
      <w:r w:rsidR="00296EAC">
        <w:rPr>
          <w:rFonts w:ascii="Tahoma" w:hAnsi="Tahoma" w:cs="Tahoma"/>
          <w:lang/>
        </w:rPr>
        <w:t>, на</w:t>
      </w:r>
      <w:r w:rsidR="0026376E">
        <w:rPr>
          <w:rFonts w:ascii="Tahoma" w:hAnsi="Tahoma" w:cs="Tahoma"/>
          <w:lang/>
        </w:rPr>
        <w:t xml:space="preserve"> предмет</w:t>
      </w:r>
      <w:r w:rsidR="00296EAC">
        <w:rPr>
          <w:rFonts w:ascii="Tahoma" w:hAnsi="Tahoma" w:cs="Tahoma"/>
          <w:lang/>
        </w:rPr>
        <w:t>у</w:t>
      </w:r>
      <w:r w:rsidR="00FF536B">
        <w:rPr>
          <w:rFonts w:ascii="Tahoma" w:hAnsi="Tahoma" w:cs="Tahoma"/>
          <w:lang/>
        </w:rPr>
        <w:t xml:space="preserve"> Дискретна математика.</w:t>
      </w:r>
    </w:p>
    <w:p w:rsidR="00A77D63" w:rsidRDefault="00972596" w:rsidP="00D4580D">
      <w:pPr>
        <w:rPr>
          <w:rFonts w:ascii="Tahoma" w:hAnsi="Tahoma" w:cs="Tahoma"/>
          <w:lang/>
        </w:rPr>
      </w:pPr>
      <w:r w:rsidRPr="00D4580D">
        <w:rPr>
          <w:rFonts w:ascii="Tahoma" w:hAnsi="Tahoma" w:cs="Tahoma"/>
          <w:lang/>
        </w:rPr>
        <w:t>Коаутор је 3 збирке задатака и једног у</w:t>
      </w:r>
      <w:r w:rsidR="00667262" w:rsidRPr="00D4580D">
        <w:rPr>
          <w:rFonts w:ascii="Tahoma" w:hAnsi="Tahoma" w:cs="Tahoma"/>
          <w:lang/>
        </w:rPr>
        <w:t xml:space="preserve">џбеника. Уџбеник под називом </w:t>
      </w:r>
      <w:r w:rsidR="00E461D7" w:rsidRPr="00D4580D">
        <w:rPr>
          <w:rFonts w:ascii="Tahoma" w:hAnsi="Tahoma" w:cs="Tahoma"/>
          <w:lang/>
        </w:rPr>
        <w:t>„Дискретне математичке структуре“ и две збирке под истим називом</w:t>
      </w:r>
      <w:r w:rsidR="006F0FE2" w:rsidRPr="00D4580D">
        <w:rPr>
          <w:rFonts w:ascii="Tahoma" w:hAnsi="Tahoma" w:cs="Tahoma"/>
          <w:lang/>
        </w:rPr>
        <w:t xml:space="preserve"> „Збирка задатака и</w:t>
      </w:r>
      <w:r w:rsidR="00631AE0" w:rsidRPr="00D4580D">
        <w:rPr>
          <w:rFonts w:ascii="Tahoma" w:hAnsi="Tahoma" w:cs="Tahoma"/>
          <w:lang/>
        </w:rPr>
        <w:t>з</w:t>
      </w:r>
      <w:r w:rsidR="006F0FE2" w:rsidRPr="00D4580D">
        <w:rPr>
          <w:rFonts w:ascii="Tahoma" w:hAnsi="Tahoma" w:cs="Tahoma"/>
          <w:lang/>
        </w:rPr>
        <w:t xml:space="preserve"> дискретних математичких структура</w:t>
      </w:r>
      <w:r w:rsidR="00631AE0" w:rsidRPr="00D4580D">
        <w:rPr>
          <w:rFonts w:ascii="Tahoma" w:hAnsi="Tahoma" w:cs="Tahoma"/>
          <w:lang/>
        </w:rPr>
        <w:t>“( прва са једним коаутором, друга са два коаутора)</w:t>
      </w:r>
      <w:r w:rsidR="0070606F" w:rsidRPr="00D4580D">
        <w:rPr>
          <w:rFonts w:ascii="Tahoma" w:hAnsi="Tahoma" w:cs="Tahoma"/>
          <w:lang/>
        </w:rPr>
        <w:t xml:space="preserve"> представљају основну литературу за истоимени предмет </w:t>
      </w:r>
      <w:r w:rsidR="00961189" w:rsidRPr="00D4580D">
        <w:rPr>
          <w:rFonts w:ascii="Tahoma" w:hAnsi="Tahoma" w:cs="Tahoma"/>
          <w:lang/>
        </w:rPr>
        <w:t>који слушају студенти друге године</w:t>
      </w:r>
      <w:r w:rsidR="00BA44A5" w:rsidRPr="00D4580D">
        <w:rPr>
          <w:rFonts w:ascii="Tahoma" w:hAnsi="Tahoma" w:cs="Tahoma"/>
          <w:lang/>
        </w:rPr>
        <w:t>. Збирка задатака под називом „ Математика</w:t>
      </w:r>
      <w:r w:rsidR="00F43752" w:rsidRPr="00D4580D">
        <w:rPr>
          <w:rFonts w:ascii="Tahoma" w:hAnsi="Tahoma" w:cs="Tahoma"/>
          <w:lang/>
        </w:rPr>
        <w:t xml:space="preserve"> 2-збирка задатака“ користи </w:t>
      </w:r>
      <w:r w:rsidR="007B6E63" w:rsidRPr="00D4580D">
        <w:rPr>
          <w:rFonts w:ascii="Tahoma" w:hAnsi="Tahoma" w:cs="Tahoma"/>
          <w:lang/>
        </w:rPr>
        <w:t xml:space="preserve">се као основна литература за предмет Математика 2 који слушају студенти прве године </w:t>
      </w:r>
      <w:r w:rsidR="00D4580D" w:rsidRPr="00D4580D">
        <w:rPr>
          <w:rFonts w:ascii="Tahoma" w:hAnsi="Tahoma" w:cs="Tahoma"/>
          <w:lang/>
        </w:rPr>
        <w:t>Факултета организационих наука.</w:t>
      </w:r>
    </w:p>
    <w:p w:rsidR="00BC2FE2" w:rsidRPr="00D4580D" w:rsidRDefault="000A2FF8" w:rsidP="00D4580D">
      <w:pPr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Током двадесет</w:t>
      </w:r>
      <w:r w:rsidR="00EB0E5D">
        <w:rPr>
          <w:rFonts w:ascii="Tahoma" w:hAnsi="Tahoma" w:cs="Tahoma"/>
          <w:lang/>
        </w:rPr>
        <w:t xml:space="preserve"> </w:t>
      </w:r>
      <w:r w:rsidR="00E112C9">
        <w:rPr>
          <w:rFonts w:ascii="Tahoma" w:hAnsi="Tahoma" w:cs="Tahoma"/>
          <w:lang/>
        </w:rPr>
        <w:t>трогодишњег анга</w:t>
      </w:r>
      <w:r w:rsidR="00F448E5">
        <w:rPr>
          <w:rFonts w:ascii="Tahoma" w:hAnsi="Tahoma" w:cs="Tahoma"/>
          <w:lang/>
        </w:rPr>
        <w:t xml:space="preserve">жовања на </w:t>
      </w:r>
      <w:r w:rsidR="00F736B9">
        <w:rPr>
          <w:rFonts w:ascii="Tahoma" w:hAnsi="Tahoma" w:cs="Tahoma"/>
          <w:lang/>
        </w:rPr>
        <w:t xml:space="preserve">Факултету организационих наука показала је смисао за педагошки рад који је у </w:t>
      </w:r>
      <w:r w:rsidR="00877708">
        <w:rPr>
          <w:rFonts w:ascii="Tahoma" w:hAnsi="Tahoma" w:cs="Tahoma"/>
          <w:lang/>
        </w:rPr>
        <w:t>студентским анкетама редовно вреднован високим оценама</w:t>
      </w:r>
      <w:r w:rsidR="00BC2FE2">
        <w:rPr>
          <w:rFonts w:ascii="Tahoma" w:hAnsi="Tahoma" w:cs="Tahoma"/>
          <w:lang/>
        </w:rPr>
        <w:t xml:space="preserve">. У последњих пет година </w:t>
      </w:r>
      <w:r w:rsidR="00B32392">
        <w:rPr>
          <w:rFonts w:ascii="Tahoma" w:hAnsi="Tahoma" w:cs="Tahoma"/>
          <w:lang/>
        </w:rPr>
        <w:t xml:space="preserve">њена реализација предавања оцењена је </w:t>
      </w:r>
      <w:r w:rsidR="003470F7">
        <w:rPr>
          <w:rFonts w:ascii="Tahoma" w:hAnsi="Tahoma" w:cs="Tahoma"/>
          <w:lang/>
        </w:rPr>
        <w:t>високим просечним оценама на предметима на којима је била ангажована: Математика 1, Математика 2 и Дискретне математичке структуре</w:t>
      </w:r>
      <w:r w:rsidR="00F6606B">
        <w:rPr>
          <w:rFonts w:ascii="Tahoma" w:hAnsi="Tahoma" w:cs="Tahoma"/>
          <w:lang/>
        </w:rPr>
        <w:t>.</w:t>
      </w:r>
      <w:r w:rsidR="00322B68">
        <w:rPr>
          <w:rFonts w:ascii="Tahoma" w:hAnsi="Tahoma" w:cs="Tahoma"/>
          <w:lang/>
        </w:rPr>
        <w:t xml:space="preserve"> У зимском семестру </w:t>
      </w:r>
      <w:r w:rsidR="00166741">
        <w:rPr>
          <w:rFonts w:ascii="Tahoma" w:hAnsi="Tahoma" w:cs="Tahoma"/>
          <w:lang/>
        </w:rPr>
        <w:t>2023/2024 била је међу најбоље оцењени</w:t>
      </w:r>
      <w:r w:rsidR="00EE1BBF">
        <w:rPr>
          <w:rFonts w:ascii="Tahoma" w:hAnsi="Tahoma" w:cs="Tahoma"/>
          <w:lang/>
        </w:rPr>
        <w:t>м</w:t>
      </w:r>
      <w:r w:rsidR="00166741">
        <w:rPr>
          <w:rFonts w:ascii="Tahoma" w:hAnsi="Tahoma" w:cs="Tahoma"/>
          <w:lang/>
        </w:rPr>
        <w:t xml:space="preserve"> професор</w:t>
      </w:r>
      <w:r w:rsidR="00EE1BBF">
        <w:rPr>
          <w:rFonts w:ascii="Tahoma" w:hAnsi="Tahoma" w:cs="Tahoma"/>
          <w:lang/>
        </w:rPr>
        <w:t>има</w:t>
      </w:r>
      <w:r w:rsidR="00166741">
        <w:rPr>
          <w:rFonts w:ascii="Tahoma" w:hAnsi="Tahoma" w:cs="Tahoma"/>
          <w:lang/>
        </w:rPr>
        <w:t xml:space="preserve"> са просечном оценом </w:t>
      </w:r>
      <w:r w:rsidR="00C735D7">
        <w:rPr>
          <w:rFonts w:ascii="Tahoma" w:hAnsi="Tahoma" w:cs="Tahoma"/>
          <w:lang/>
        </w:rPr>
        <w:t>4.92.</w:t>
      </w:r>
    </w:p>
    <w:p w:rsidR="00A77D63" w:rsidRDefault="00A77D63" w:rsidP="00462550">
      <w:pPr>
        <w:pStyle w:val="ListParagraph"/>
        <w:ind w:left="1080"/>
        <w:rPr>
          <w:rFonts w:ascii="Tahoma" w:hAnsi="Tahoma" w:cs="Tahoma"/>
        </w:rPr>
      </w:pPr>
    </w:p>
    <w:p w:rsidR="00A77D63" w:rsidRDefault="00A77D63" w:rsidP="00462550">
      <w:pPr>
        <w:pStyle w:val="ListParagraph"/>
        <w:ind w:left="1080"/>
        <w:rPr>
          <w:rFonts w:ascii="Tahoma" w:hAnsi="Tahoma" w:cs="Tahoma"/>
        </w:rPr>
      </w:pPr>
    </w:p>
    <w:p w:rsidR="00A77D63" w:rsidRPr="00EE1BBF" w:rsidRDefault="00A77D63" w:rsidP="00EE1BBF">
      <w:pPr>
        <w:rPr>
          <w:rFonts w:ascii="Tahoma" w:hAnsi="Tahoma" w:cs="Tahoma"/>
          <w:lang/>
        </w:rPr>
      </w:pPr>
    </w:p>
    <w:p w:rsidR="00496C93" w:rsidRDefault="00496C93" w:rsidP="00462550">
      <w:pPr>
        <w:pStyle w:val="ListParagraph"/>
        <w:ind w:left="1080"/>
        <w:rPr>
          <w:rFonts w:ascii="Tahoma" w:hAnsi="Tahoma" w:cs="Tahoma"/>
        </w:rPr>
      </w:pPr>
    </w:p>
    <w:p w:rsidR="00496C93" w:rsidRDefault="00496C93" w:rsidP="00462550">
      <w:pPr>
        <w:pStyle w:val="ListParagraph"/>
        <w:ind w:left="1080"/>
        <w:rPr>
          <w:rFonts w:ascii="Tahoma" w:hAnsi="Tahoma" w:cs="Tahoma"/>
        </w:rPr>
      </w:pPr>
    </w:p>
    <w:p w:rsidR="00496C93" w:rsidRDefault="00496C93" w:rsidP="00462550">
      <w:pPr>
        <w:pStyle w:val="ListParagraph"/>
        <w:ind w:left="1080"/>
        <w:rPr>
          <w:rFonts w:ascii="Tahoma" w:hAnsi="Tahoma" w:cs="Tahoma"/>
        </w:rPr>
      </w:pPr>
    </w:p>
    <w:p w:rsidR="00496C93" w:rsidRDefault="00496C93" w:rsidP="00462550">
      <w:pPr>
        <w:pStyle w:val="ListParagraph"/>
        <w:ind w:left="1080"/>
        <w:rPr>
          <w:rFonts w:ascii="Tahoma" w:hAnsi="Tahoma" w:cs="Tahoma"/>
        </w:rPr>
      </w:pPr>
    </w:p>
    <w:p w:rsidR="002D5CB8" w:rsidRPr="00B8347F" w:rsidRDefault="001E10A2" w:rsidP="000D3EA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8347F">
        <w:rPr>
          <w:rFonts w:ascii="Tahoma" w:hAnsi="Tahoma" w:cs="Tahoma"/>
        </w:rPr>
        <w:t>Библиографија научних и стручних радова</w:t>
      </w:r>
    </w:p>
    <w:p w:rsidR="004A6483" w:rsidRPr="00B8347F" w:rsidRDefault="004A6483" w:rsidP="004A6483">
      <w:pPr>
        <w:pStyle w:val="ListParagraph"/>
        <w:rPr>
          <w:rFonts w:ascii="Tahoma" w:hAnsi="Tahoma" w:cs="Tahoma"/>
        </w:rPr>
      </w:pPr>
    </w:p>
    <w:tbl>
      <w:tblPr>
        <w:tblpPr w:leftFromText="180" w:rightFromText="180" w:vertAnchor="text" w:horzAnchor="page" w:tblpX="1" w:tblpY="-150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7618"/>
        <w:gridCol w:w="855"/>
        <w:gridCol w:w="855"/>
      </w:tblGrid>
      <w:tr w:rsidR="001D0765" w:rsidRPr="005C301F" w:rsidTr="001D0765">
        <w:trPr>
          <w:cantSplit/>
          <w:trHeight w:val="479"/>
          <w:tblHeader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9CCFF"/>
          </w:tcPr>
          <w:p w:rsidR="001D0765" w:rsidRPr="005C301F" w:rsidRDefault="001D0765" w:rsidP="002B1E34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301F">
              <w:rPr>
                <w:rFonts w:ascii="Times New Roman" w:hAnsi="Times New Roman"/>
                <w:b/>
                <w:lang w:val="ru-RU"/>
              </w:rPr>
              <w:lastRenderedPageBreak/>
              <w:t>Р.</w:t>
            </w:r>
            <w:r w:rsidRPr="005C301F">
              <w:rPr>
                <w:rFonts w:ascii="Times New Roman" w:hAnsi="Times New Roman"/>
                <w:b/>
                <w:lang/>
              </w:rPr>
              <w:t xml:space="preserve"> </w:t>
            </w:r>
            <w:r w:rsidRPr="005C301F">
              <w:rPr>
                <w:rFonts w:ascii="Times New Roman" w:hAnsi="Times New Roman"/>
                <w:b/>
                <w:lang w:val="ru-RU"/>
              </w:rPr>
              <w:t>б</w:t>
            </w:r>
            <w:r w:rsidRPr="005C301F">
              <w:rPr>
                <w:rFonts w:ascii="Times New Roman" w:hAnsi="Times New Roman"/>
                <w:b/>
                <w:lang/>
              </w:rPr>
              <w:t>р</w:t>
            </w:r>
            <w:r w:rsidRPr="005C301F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76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0765" w:rsidRPr="005C301F" w:rsidRDefault="001D0765" w:rsidP="002B1E34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301F">
              <w:rPr>
                <w:rFonts w:ascii="Times New Roman" w:hAnsi="Times New Roman"/>
                <w:b/>
                <w:lang w:val="ru-RU"/>
              </w:rPr>
              <w:t>Библиографска јединица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0765" w:rsidRPr="005C301F" w:rsidRDefault="001D0765" w:rsidP="002B1E34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lang/>
              </w:rPr>
            </w:pPr>
            <w:r w:rsidRPr="005C301F">
              <w:rPr>
                <w:rFonts w:ascii="Times New Roman" w:hAnsi="Times New Roman"/>
                <w:b/>
                <w:lang/>
              </w:rPr>
              <w:t>Година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0765" w:rsidRPr="005C301F" w:rsidRDefault="001D0765" w:rsidP="002B1E34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lang/>
              </w:rPr>
            </w:pPr>
            <w:r w:rsidRPr="005C301F">
              <w:rPr>
                <w:rFonts w:ascii="Times New Roman" w:hAnsi="Times New Roman"/>
                <w:b/>
                <w:lang/>
              </w:rPr>
              <w:t>M</w:t>
            </w:r>
          </w:p>
        </w:tc>
      </w:tr>
      <w:tr w:rsidR="001D0765" w:rsidRPr="005C301F" w:rsidTr="001D0765">
        <w:trPr>
          <w:cantSplit/>
          <w:trHeight w:val="472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1D0765">
            <w:pPr>
              <w:widowControl w:val="0"/>
              <w:numPr>
                <w:ilvl w:val="0"/>
                <w:numId w:val="2"/>
              </w:numPr>
              <w:tabs>
                <w:tab w:val="clear" w:pos="7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2B1E34">
            <w:pPr>
              <w:widowControl w:val="0"/>
              <w:rPr>
                <w:rFonts w:ascii="Times New Roman" w:hAnsi="Times New Roman"/>
                <w:lang/>
              </w:rPr>
            </w:pPr>
            <w:r w:rsidRPr="005C301F">
              <w:rPr>
                <w:rFonts w:ascii="Times New Roman" w:hAnsi="Times New Roman"/>
                <w:lang/>
              </w:rPr>
              <w:t>Todorcevic Vesna, Harmonic Quasiconformal Mappings and Hyperbolic type Metrics, Springer , XVII+163p., ISBN 978-3-030-22590-2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2B1E34">
            <w:pPr>
              <w:widowControl w:val="0"/>
              <w:jc w:val="center"/>
              <w:rPr>
                <w:rFonts w:ascii="Times New Roman" w:hAnsi="Times New Roman"/>
                <w:lang/>
              </w:rPr>
            </w:pPr>
            <w:r w:rsidRPr="005C301F">
              <w:rPr>
                <w:rFonts w:ascii="Times New Roman" w:hAnsi="Times New Roman"/>
                <w:lang/>
              </w:rPr>
              <w:t>2019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2B1E34">
            <w:pPr>
              <w:widowControl w:val="0"/>
              <w:jc w:val="center"/>
              <w:rPr>
                <w:rFonts w:ascii="Times New Roman" w:hAnsi="Times New Roman"/>
                <w:lang/>
              </w:rPr>
            </w:pPr>
            <w:r w:rsidRPr="005C301F">
              <w:rPr>
                <w:rFonts w:ascii="Times New Roman" w:hAnsi="Times New Roman"/>
                <w:lang/>
              </w:rPr>
              <w:t>M1</w:t>
            </w:r>
            <w:r>
              <w:rPr>
                <w:rFonts w:ascii="Times New Roman" w:hAnsi="Times New Roman"/>
                <w:lang/>
              </w:rPr>
              <w:t>1</w:t>
            </w:r>
          </w:p>
        </w:tc>
      </w:tr>
      <w:tr w:rsidR="001D0765" w:rsidRPr="005C301F" w:rsidTr="001D0765">
        <w:trPr>
          <w:cantSplit/>
          <w:trHeight w:val="458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1D0765">
            <w:pPr>
              <w:widowControl w:val="0"/>
              <w:numPr>
                <w:ilvl w:val="0"/>
                <w:numId w:val="2"/>
              </w:numPr>
              <w:tabs>
                <w:tab w:val="clear" w:pos="7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18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2B1E34">
            <w:pPr>
              <w:widowControl w:val="0"/>
              <w:rPr>
                <w:rFonts w:ascii="Times New Roman" w:hAnsi="Times New Roman"/>
                <w:lang/>
              </w:rPr>
            </w:pPr>
            <w:r w:rsidRPr="005C301F">
              <w:rPr>
                <w:rFonts w:ascii="Times New Roman" w:hAnsi="Times New Roman"/>
                <w:lang/>
              </w:rPr>
              <w:t>Todorčević Vesna, Marija Šegan-Radonjić, Mihailo Petrović Alas:Mathematician and Master Fisherman, The Mathematical Intelligencer Vol 41,no 3, 44-50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2B1E34">
            <w:pPr>
              <w:widowControl w:val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2019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2B1E34">
            <w:pPr>
              <w:widowControl w:val="0"/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  M23</w:t>
            </w:r>
          </w:p>
        </w:tc>
      </w:tr>
      <w:tr w:rsidR="001D0765" w:rsidRPr="005C301F" w:rsidTr="001D0765">
        <w:trPr>
          <w:cantSplit/>
          <w:trHeight w:val="472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1D0765">
            <w:pPr>
              <w:widowControl w:val="0"/>
              <w:numPr>
                <w:ilvl w:val="0"/>
                <w:numId w:val="2"/>
              </w:numPr>
              <w:tabs>
                <w:tab w:val="clear" w:pos="7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18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2B1E34">
            <w:pPr>
              <w:widowControl w:val="0"/>
              <w:rPr>
                <w:rFonts w:ascii="Times New Roman" w:hAnsi="Times New Roman"/>
                <w:lang/>
              </w:rPr>
            </w:pPr>
            <w:r w:rsidRPr="005C301F">
              <w:rPr>
                <w:rFonts w:ascii="Times New Roman" w:hAnsi="Times New Roman"/>
                <w:lang/>
              </w:rPr>
              <w:t>Cvetković Dragoš, Todorčević Vesna, Cospectrality graphs of Smith graphs, Filomat</w:t>
            </w:r>
            <w:r>
              <w:rPr>
                <w:rFonts w:ascii="Times New Roman" w:hAnsi="Times New Roman"/>
                <w:lang/>
              </w:rPr>
              <w:t>,Vol33 no 11, 3269-3276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2B1E34">
            <w:pPr>
              <w:widowControl w:val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2019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2B1E34">
            <w:pPr>
              <w:widowControl w:val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M22</w:t>
            </w:r>
          </w:p>
        </w:tc>
      </w:tr>
      <w:tr w:rsidR="001D0765" w:rsidRPr="005C301F" w:rsidTr="001D0765">
        <w:trPr>
          <w:cantSplit/>
          <w:trHeight w:val="222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1D0765">
            <w:pPr>
              <w:widowControl w:val="0"/>
              <w:numPr>
                <w:ilvl w:val="0"/>
                <w:numId w:val="2"/>
              </w:numPr>
              <w:tabs>
                <w:tab w:val="clear" w:pos="7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18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2B1E34">
            <w:pPr>
              <w:widowControl w:val="0"/>
              <w:rPr>
                <w:rFonts w:ascii="Times New Roman" w:hAnsi="Times New Roman"/>
                <w:lang/>
              </w:rPr>
            </w:pPr>
            <w:r w:rsidRPr="005C301F">
              <w:rPr>
                <w:rFonts w:ascii="Times New Roman" w:hAnsi="Times New Roman"/>
                <w:lang/>
              </w:rPr>
              <w:t xml:space="preserve"> </w:t>
            </w:r>
            <w:r w:rsidRPr="005C301F">
              <w:rPr>
                <w:rFonts w:ascii="Times New Roman" w:hAnsi="Times New Roman"/>
                <w:lang w:val="ru-RU"/>
              </w:rPr>
              <w:t xml:space="preserve">Члан уређивачког одбора часописа </w:t>
            </w:r>
            <w:r w:rsidRPr="005C301F">
              <w:rPr>
                <w:rFonts w:ascii="Times New Roman" w:hAnsi="Times New Roman"/>
                <w:lang/>
              </w:rPr>
              <w:t xml:space="preserve">за историју науке </w:t>
            </w:r>
            <w:r w:rsidRPr="005C301F">
              <w:rPr>
                <w:rFonts w:ascii="Times New Roman" w:hAnsi="Times New Roman"/>
                <w:lang/>
              </w:rPr>
              <w:t>Phlogiston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461DC0" w:rsidRDefault="001D0765" w:rsidP="002B1E34">
            <w:pPr>
              <w:widowControl w:val="0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</w:t>
            </w:r>
            <w:r w:rsidRPr="005C301F">
              <w:rPr>
                <w:rFonts w:ascii="Times New Roman" w:hAnsi="Times New Roman"/>
                <w:lang/>
              </w:rPr>
              <w:t>2019</w:t>
            </w:r>
            <w:r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2B1E34">
            <w:pPr>
              <w:widowControl w:val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 </w:t>
            </w:r>
            <w:r w:rsidRPr="005C301F">
              <w:rPr>
                <w:rFonts w:ascii="Times New Roman" w:hAnsi="Times New Roman"/>
                <w:lang/>
              </w:rPr>
              <w:t>M29v</w:t>
            </w:r>
          </w:p>
        </w:tc>
      </w:tr>
      <w:tr w:rsidR="001D0765" w:rsidRPr="005C301F" w:rsidTr="001D0765">
        <w:trPr>
          <w:cantSplit/>
          <w:trHeight w:val="472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1D0765">
            <w:pPr>
              <w:widowControl w:val="0"/>
              <w:numPr>
                <w:ilvl w:val="0"/>
                <w:numId w:val="2"/>
              </w:numPr>
              <w:tabs>
                <w:tab w:val="clear" w:pos="7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18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2B1E34">
            <w:pPr>
              <w:widowControl w:val="0"/>
              <w:rPr>
                <w:rFonts w:ascii="Times New Roman" w:hAnsi="Times New Roman"/>
                <w:lang/>
              </w:rPr>
            </w:pPr>
            <w:r w:rsidRPr="005C301F">
              <w:rPr>
                <w:rFonts w:ascii="Times New Roman" w:hAnsi="Times New Roman"/>
                <w:lang/>
              </w:rPr>
              <w:t>Cvetković Dragoš, Jovanović Irena, Todorčević Vesna, Further results on he cospectrality of Smith graphs, SYM-OP-IS, 185-190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2B1E34">
            <w:pPr>
              <w:widowControl w:val="0"/>
              <w:jc w:val="center"/>
              <w:rPr>
                <w:rFonts w:ascii="Times New Roman" w:hAnsi="Times New Roman"/>
                <w:lang/>
              </w:rPr>
            </w:pPr>
            <w:r w:rsidRPr="005C301F">
              <w:rPr>
                <w:rFonts w:ascii="Times New Roman" w:hAnsi="Times New Roman"/>
                <w:lang/>
              </w:rPr>
              <w:t>2019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2B1E34">
            <w:pPr>
              <w:widowControl w:val="0"/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 </w:t>
            </w:r>
            <w:r w:rsidRPr="005C301F">
              <w:rPr>
                <w:rFonts w:ascii="Times New Roman" w:hAnsi="Times New Roman"/>
                <w:lang/>
              </w:rPr>
              <w:t>M33</w:t>
            </w:r>
          </w:p>
        </w:tc>
      </w:tr>
      <w:tr w:rsidR="001D0765" w:rsidRPr="005C301F" w:rsidTr="001D0765">
        <w:trPr>
          <w:cantSplit/>
          <w:trHeight w:val="736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1D0765">
            <w:pPr>
              <w:widowControl w:val="0"/>
              <w:numPr>
                <w:ilvl w:val="0"/>
                <w:numId w:val="2"/>
              </w:numPr>
              <w:tabs>
                <w:tab w:val="clear" w:pos="7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18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2B1E34">
            <w:pPr>
              <w:widowControl w:val="0"/>
              <w:rPr>
                <w:rFonts w:ascii="Times New Roman" w:hAnsi="Times New Roman"/>
                <w:lang/>
              </w:rPr>
            </w:pPr>
            <w:r w:rsidRPr="006009BB">
              <w:rPr>
                <w:rFonts w:ascii="Garamond" w:hAnsi="Garamond"/>
                <w:iCs/>
                <w:sz w:val="24"/>
                <w:szCs w:val="24"/>
                <w:lang w:val="en-GB"/>
              </w:rPr>
              <w:t>“A short survey on the development of contemporary logic”, Vesna Todorčević and Strahinja Djordjević, PHLOGISTON no.28, 175-190p, Beograd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F55255" w:rsidRDefault="001D0765" w:rsidP="002B1E34">
            <w:pPr>
              <w:widowControl w:val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2020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F55255" w:rsidRDefault="001D0765" w:rsidP="002B1E34">
            <w:pPr>
              <w:widowControl w:val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М53</w:t>
            </w:r>
          </w:p>
        </w:tc>
      </w:tr>
      <w:tr w:rsidR="001D0765" w:rsidRPr="005C301F" w:rsidTr="001D0765">
        <w:trPr>
          <w:cantSplit/>
          <w:trHeight w:val="750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1D0765">
            <w:pPr>
              <w:widowControl w:val="0"/>
              <w:numPr>
                <w:ilvl w:val="0"/>
                <w:numId w:val="2"/>
              </w:numPr>
              <w:tabs>
                <w:tab w:val="clear" w:pos="7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18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6009BB" w:rsidRDefault="001D0765" w:rsidP="002B1E34">
            <w:pPr>
              <w:rPr>
                <w:rFonts w:ascii="Garamond" w:hAnsi="Garamond"/>
                <w:kern w:val="24"/>
                <w:sz w:val="24"/>
                <w:szCs w:val="24"/>
                <w:lang w:val="en-GB"/>
              </w:rPr>
            </w:pPr>
            <w:r w:rsidRPr="006009BB">
              <w:rPr>
                <w:rFonts w:ascii="Garamond" w:hAnsi="Garamond"/>
                <w:kern w:val="24"/>
                <w:sz w:val="24"/>
                <w:szCs w:val="24"/>
                <w:lang w:val="en-GB"/>
              </w:rPr>
              <w:t xml:space="preserve">“Mathematics and music game in the function of childs social and emotional development”, Stajka Rajić, Vesna Todorčević and Alma Tasevska, </w:t>
            </w:r>
          </w:p>
          <w:p w:rsidR="001D0765" w:rsidRPr="005C301F" w:rsidRDefault="001D0765" w:rsidP="002B1E34">
            <w:pPr>
              <w:widowControl w:val="0"/>
              <w:rPr>
                <w:rFonts w:ascii="Times New Roman" w:hAnsi="Times New Roman"/>
                <w:lang/>
              </w:rPr>
            </w:pPr>
            <w:r w:rsidRPr="006009BB">
              <w:rPr>
                <w:rFonts w:ascii="Garamond" w:hAnsi="Garamond"/>
                <w:kern w:val="24"/>
                <w:sz w:val="24"/>
                <w:szCs w:val="24"/>
                <w:lang w:val="en-GB"/>
              </w:rPr>
              <w:t>Školski vjesnik vol 69 ,no1, 209-225pp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F55255" w:rsidRDefault="001D0765" w:rsidP="002B1E34">
            <w:pPr>
              <w:widowControl w:val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2020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F55255" w:rsidRDefault="001D0765" w:rsidP="002B1E34">
            <w:pPr>
              <w:widowControl w:val="0"/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 М51</w:t>
            </w:r>
          </w:p>
        </w:tc>
      </w:tr>
      <w:tr w:rsidR="001D0765" w:rsidRPr="005C301F" w:rsidTr="001D0765">
        <w:trPr>
          <w:cantSplit/>
          <w:trHeight w:val="750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1D0765">
            <w:pPr>
              <w:widowControl w:val="0"/>
              <w:numPr>
                <w:ilvl w:val="0"/>
                <w:numId w:val="2"/>
              </w:numPr>
              <w:tabs>
                <w:tab w:val="clear" w:pos="7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18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2B1E34">
            <w:pPr>
              <w:widowControl w:val="0"/>
              <w:rPr>
                <w:rFonts w:ascii="Times New Roman" w:hAnsi="Times New Roman"/>
                <w:lang/>
              </w:rPr>
            </w:pPr>
            <w:r>
              <w:rPr>
                <w:rFonts w:ascii="Garamond" w:hAnsi="Garamond"/>
                <w:i/>
                <w:sz w:val="24"/>
                <w:szCs w:val="24"/>
                <w:lang w:val="en-GB"/>
              </w:rPr>
              <w:t>Todorčević Vesna,“Harmonic quasiconformal mappings and hyperbolic type metrics”,</w:t>
            </w:r>
            <w:r>
              <w:rPr>
                <w:rFonts w:ascii="Garamond" w:hAnsi="Garamond"/>
                <w:iCs/>
                <w:sz w:val="24"/>
                <w:szCs w:val="24"/>
                <w:lang w:val="en-GB"/>
              </w:rPr>
              <w:t>8th European Congress of Mathematics,Portorož, Minisymposium MS-32 Current topics in complex analysis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F55255" w:rsidRDefault="001D0765" w:rsidP="002B1E34">
            <w:pPr>
              <w:widowControl w:val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2021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F55255" w:rsidRDefault="001D0765" w:rsidP="002B1E34">
            <w:pPr>
              <w:widowControl w:val="0"/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 М32</w:t>
            </w:r>
          </w:p>
        </w:tc>
      </w:tr>
      <w:tr w:rsidR="001D0765" w:rsidRPr="005C301F" w:rsidTr="001D0765">
        <w:trPr>
          <w:cantSplit/>
          <w:trHeight w:val="736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1D0765">
            <w:pPr>
              <w:widowControl w:val="0"/>
              <w:numPr>
                <w:ilvl w:val="0"/>
                <w:numId w:val="2"/>
              </w:numPr>
              <w:tabs>
                <w:tab w:val="clear" w:pos="7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18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Default="001D0765" w:rsidP="002B1E34">
            <w:pPr>
              <w:tabs>
                <w:tab w:val="left" w:pos="720"/>
              </w:tabs>
              <w:rPr>
                <w:rFonts w:ascii="Garamond" w:hAnsi="Garamond"/>
                <w:kern w:val="24"/>
                <w:sz w:val="24"/>
                <w:szCs w:val="24"/>
              </w:rPr>
            </w:pPr>
            <w:r>
              <w:rPr>
                <w:rFonts w:ascii="Garamond" w:hAnsi="Garamond"/>
                <w:kern w:val="24"/>
                <w:sz w:val="24"/>
                <w:szCs w:val="24"/>
              </w:rPr>
              <w:t>“Les coulisses de la creation”, Karol Beffa, Cedric Villani, Flammarion 2015</w:t>
            </w:r>
          </w:p>
          <w:p w:rsidR="001D0765" w:rsidRPr="005C301F" w:rsidRDefault="001D0765" w:rsidP="002B1E34">
            <w:pPr>
              <w:widowControl w:val="0"/>
              <w:rPr>
                <w:rFonts w:ascii="Times New Roman" w:hAnsi="Times New Roman"/>
                <w:lang/>
              </w:rPr>
            </w:pPr>
            <w:r>
              <w:rPr>
                <w:rFonts w:ascii="Garamond" w:hAnsi="Garamond"/>
                <w:kern w:val="24"/>
                <w:sz w:val="24"/>
                <w:szCs w:val="24"/>
              </w:rPr>
              <w:t>“Iza kulisa stvaralaštva,Karol Befa, Sedrik Vilani, Centar za promociju nauke, Matematički institute SANU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F55255" w:rsidRDefault="001D0765" w:rsidP="002B1E34">
            <w:pPr>
              <w:widowControl w:val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2021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F55255" w:rsidRDefault="001D0765" w:rsidP="002B1E34">
            <w:pPr>
              <w:widowControl w:val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М68</w:t>
            </w:r>
          </w:p>
        </w:tc>
      </w:tr>
      <w:tr w:rsidR="001D0765" w:rsidRPr="005C301F" w:rsidTr="001D0765">
        <w:trPr>
          <w:cantSplit/>
          <w:trHeight w:val="472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1D0765">
            <w:pPr>
              <w:widowControl w:val="0"/>
              <w:numPr>
                <w:ilvl w:val="0"/>
                <w:numId w:val="2"/>
              </w:numPr>
              <w:tabs>
                <w:tab w:val="clear" w:pos="7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18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F55255" w:rsidRDefault="001D0765" w:rsidP="002B1E34">
            <w:pPr>
              <w:widowControl w:val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Todorčević Vesna,“HQC maps and Ahlfors regular domains”, Probabilistic Techniques in Analysis, Soči 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F55255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2021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F55255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M32</w:t>
            </w:r>
          </w:p>
        </w:tc>
      </w:tr>
      <w:tr w:rsidR="001D0765" w:rsidRPr="005C301F" w:rsidTr="001D0765">
        <w:trPr>
          <w:cantSplit/>
          <w:trHeight w:val="444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1D0765">
            <w:pPr>
              <w:widowControl w:val="0"/>
              <w:numPr>
                <w:ilvl w:val="0"/>
                <w:numId w:val="2"/>
              </w:numPr>
              <w:tabs>
                <w:tab w:val="clear" w:pos="7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18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2B1E34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T Norms Pro Regular" w:hAnsi="TT Norms Pro Regular"/>
                <w:color w:val="333333"/>
                <w:sz w:val="21"/>
                <w:szCs w:val="21"/>
                <w:shd w:val="clear" w:color="auto" w:fill="FFFFFF"/>
              </w:rPr>
              <w:t>Simić Slavko, Todorčević Vesna,Jensen Functional, Quasi-Arithmetic Mean and Sharp Converses of Hölder’s Inequalities, Mathematics, vol. 9 br. 23 str. 3104-3104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F61E5B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2021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F61E5B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M21a</w:t>
            </w:r>
          </w:p>
        </w:tc>
      </w:tr>
      <w:tr w:rsidR="001D0765" w:rsidRPr="005C301F" w:rsidTr="001D0765">
        <w:trPr>
          <w:cantSplit/>
          <w:trHeight w:val="958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1D0765">
            <w:pPr>
              <w:widowControl w:val="0"/>
              <w:numPr>
                <w:ilvl w:val="0"/>
                <w:numId w:val="2"/>
              </w:numPr>
              <w:tabs>
                <w:tab w:val="clear" w:pos="7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18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2B1E34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T Norms Pro Regular" w:hAnsi="TT Norms Pro Regular"/>
                <w:color w:val="333333"/>
                <w:sz w:val="21"/>
                <w:szCs w:val="21"/>
                <w:shd w:val="clear" w:color="auto" w:fill="FFFFFF"/>
              </w:rPr>
              <w:t>Marija Šegan-Radonjić, Vesna Todorčević,Rodna struktura Matematičkog instituta SAN od 1946. do 1961. godine, Poglavlje u monografiji, str. 83-95</w:t>
            </w:r>
          </w:p>
          <w:p w:rsidR="001D0765" w:rsidRPr="00F61E5B" w:rsidRDefault="001D0765" w:rsidP="002B1E34">
            <w:pPr>
              <w:spacing w:after="300"/>
              <w:rPr>
                <w:rFonts w:ascii="TT Norms Pro Regular" w:hAnsi="TT Norms Pro Regular"/>
                <w:color w:val="333333"/>
                <w:sz w:val="21"/>
                <w:szCs w:val="21"/>
                <w:lang w:val="en-GB" w:eastAsia="en-GB"/>
              </w:rPr>
            </w:pPr>
            <w:r>
              <w:rPr>
                <w:rFonts w:ascii="TT Norms Pro Regular" w:hAnsi="TT Norms Pro Regular"/>
                <w:color w:val="333333"/>
                <w:sz w:val="21"/>
                <w:szCs w:val="21"/>
              </w:rPr>
              <w:t>Etnografski institut SANU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F61E5B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2022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7601DE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M44</w:t>
            </w:r>
          </w:p>
        </w:tc>
      </w:tr>
      <w:tr w:rsidR="001D0765" w:rsidRPr="005C301F" w:rsidTr="001D0765">
        <w:trPr>
          <w:cantSplit/>
          <w:trHeight w:val="458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1D0765">
            <w:pPr>
              <w:widowControl w:val="0"/>
              <w:numPr>
                <w:ilvl w:val="0"/>
                <w:numId w:val="2"/>
              </w:numPr>
              <w:tabs>
                <w:tab w:val="clear" w:pos="7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18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F61E5B" w:rsidRDefault="001D0765" w:rsidP="002B1E34">
            <w:pPr>
              <w:widowControl w:val="0"/>
              <w:rPr>
                <w:rFonts w:ascii="Times New Roman" w:hAnsi="Times New Roman"/>
                <w:lang w:val="en-GB"/>
              </w:rPr>
            </w:pPr>
            <w:r>
              <w:rPr>
                <w:rFonts w:ascii="TT Norms Pro Regular" w:hAnsi="TT Norms Pro Regular"/>
                <w:color w:val="333333"/>
                <w:sz w:val="21"/>
                <w:szCs w:val="21"/>
                <w:shd w:val="clear" w:color="auto" w:fill="FFFFFF"/>
              </w:rPr>
              <w:t>Huang Huaping,Todorčević Vesna,Radenović Stojan,Remarks on Recent Results for Generalized F-Contractions,</w:t>
            </w:r>
            <w:r>
              <w:rPr>
                <w:rFonts w:ascii="TT Norms Pro Regular" w:hAnsi="TT Norms Pro Regular"/>
                <w:color w:val="333333"/>
                <w:sz w:val="21"/>
                <w:szCs w:val="21"/>
              </w:rPr>
              <w:t>Mathematics,vol. 10 br. 5 str. 768-768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F61E5B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2022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F61E5B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M21a</w:t>
            </w:r>
          </w:p>
        </w:tc>
      </w:tr>
      <w:tr w:rsidR="001D0765" w:rsidRPr="005C301F" w:rsidTr="001D0765">
        <w:trPr>
          <w:cantSplit/>
          <w:trHeight w:val="903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1D0765">
            <w:pPr>
              <w:widowControl w:val="0"/>
              <w:numPr>
                <w:ilvl w:val="0"/>
                <w:numId w:val="2"/>
              </w:numPr>
              <w:tabs>
                <w:tab w:val="clear" w:pos="7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18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Default="001D0765" w:rsidP="002B1E34">
            <w:pPr>
              <w:widowControl w:val="0"/>
              <w:rPr>
                <w:rFonts w:ascii="TT Norms Pro Regular" w:hAnsi="TT Norms Pro Regular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T Norms Pro Regular" w:hAnsi="TT Norms Pro Regular"/>
                <w:color w:val="333333"/>
                <w:sz w:val="21"/>
                <w:szCs w:val="21"/>
                <w:shd w:val="clear" w:color="auto" w:fill="FFFFFF"/>
              </w:rPr>
              <w:t>Nezhad,Akbar Dehghan;Mirkov Nikola;Todorčević Vesna;Radenović Stojan</w:t>
            </w:r>
          </w:p>
          <w:p w:rsidR="001D0765" w:rsidRPr="00E64FFA" w:rsidRDefault="001D0765" w:rsidP="002B1E34">
            <w:pPr>
              <w:widowControl w:val="0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T Norms Pro Regular" w:hAnsi="TT Norms Pro Regular"/>
                <w:color w:val="333333"/>
                <w:sz w:val="21"/>
                <w:szCs w:val="21"/>
                <w:shd w:val="clear" w:color="auto" w:fill="FFFFFF"/>
              </w:rPr>
              <w:t>A different approach to b(αn,βn)-hypermetric spaces</w:t>
            </w:r>
            <w:r>
              <w:rPr>
                <w:rFonts w:ascii="TT Norms Pro Regular" w:hAnsi="TT Norms Pro Regular"/>
                <w:color w:val="333333"/>
                <w:sz w:val="21"/>
                <w:szCs w:val="21"/>
              </w:rPr>
              <w:br/>
              <w:t>Војнотехнички гласник,</w:t>
            </w:r>
            <w:r>
              <w:rPr>
                <w:rFonts w:ascii="TT Norms Pro Regular" w:hAnsi="TT Norms Pro Regular"/>
                <w:color w:val="333333"/>
                <w:sz w:val="21"/>
                <w:szCs w:val="21"/>
                <w:shd w:val="clear" w:color="auto" w:fill="FFFFFF"/>
              </w:rPr>
              <w:t xml:space="preserve"> Univerzitet odbrane u Beogradu,</w:t>
            </w:r>
          </w:p>
          <w:p w:rsidR="001D0765" w:rsidRPr="005C301F" w:rsidRDefault="001D0765" w:rsidP="002B1E34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T Norms Pro Regular" w:hAnsi="TT Norms Pro Regular"/>
                <w:color w:val="333333"/>
                <w:sz w:val="21"/>
                <w:szCs w:val="21"/>
                <w:shd w:val="clear" w:color="auto" w:fill="FFFFFF"/>
              </w:rPr>
              <w:t>vol. 70 br. 1 str. 24-42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E64FFA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2022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E64FFA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M51</w:t>
            </w:r>
          </w:p>
        </w:tc>
      </w:tr>
      <w:tr w:rsidR="001D0765" w:rsidRPr="005C301F" w:rsidTr="001D0765">
        <w:trPr>
          <w:cantSplit/>
          <w:trHeight w:val="945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1D0765">
            <w:pPr>
              <w:widowControl w:val="0"/>
              <w:numPr>
                <w:ilvl w:val="0"/>
                <w:numId w:val="2"/>
              </w:numPr>
              <w:tabs>
                <w:tab w:val="clear" w:pos="7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18" w:type="dxa"/>
            <w:tcBorders>
              <w:left w:val="single" w:sz="8" w:space="0" w:color="auto"/>
              <w:right w:val="single" w:sz="8" w:space="0" w:color="auto"/>
            </w:tcBorders>
          </w:tcPr>
          <w:p w:rsidR="00493E5F" w:rsidRDefault="001D0765" w:rsidP="002B1E34">
            <w:pPr>
              <w:widowControl w:val="0"/>
              <w:rPr>
                <w:rFonts w:ascii="TT Norms Pro Regular" w:hAnsi="TT Norms Pro Regular"/>
                <w:color w:val="333333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TT Norms Pro Regular" w:hAnsi="TT Norms Pro Regular"/>
                <w:color w:val="333333"/>
                <w:sz w:val="21"/>
                <w:szCs w:val="21"/>
                <w:shd w:val="clear" w:color="auto" w:fill="FFFFFF"/>
              </w:rPr>
              <w:t>Fabiano Nicola;Gardašević-Filipović Milanka;Mirkov Nikola;Todorčević Vesna;Radenović Stojan,On the Distribution of Kurepa’s Function,</w:t>
            </w:r>
          </w:p>
          <w:p w:rsidR="001D0765" w:rsidRPr="00493E5F" w:rsidRDefault="001D0765" w:rsidP="00493E5F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T Norms Pro Regular" w:hAnsi="TT Norms Pro Regular"/>
                <w:color w:val="333333"/>
                <w:sz w:val="21"/>
                <w:szCs w:val="21"/>
                <w:shd w:val="clear" w:color="auto" w:fill="FFFFFF"/>
              </w:rPr>
              <w:t>Axioms,</w:t>
            </w:r>
            <w:r>
              <w:rPr>
                <w:rFonts w:ascii="TT Norms Pro Regular" w:hAnsi="TT Norms Pro Regular"/>
                <w:color w:val="333333"/>
                <w:sz w:val="21"/>
                <w:szCs w:val="21"/>
              </w:rPr>
              <w:t>vol. 11 br. 8 str. 388-388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E64FFA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2022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E64FFA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M21</w:t>
            </w:r>
          </w:p>
        </w:tc>
      </w:tr>
      <w:tr w:rsidR="001D0765" w:rsidRPr="005C301F" w:rsidTr="001D0765">
        <w:trPr>
          <w:cantSplit/>
          <w:trHeight w:val="1181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1D0765">
            <w:pPr>
              <w:widowControl w:val="0"/>
              <w:numPr>
                <w:ilvl w:val="0"/>
                <w:numId w:val="2"/>
              </w:numPr>
              <w:tabs>
                <w:tab w:val="clear" w:pos="7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18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A87945" w:rsidRDefault="001D0765" w:rsidP="002B1E34">
            <w:pPr>
              <w:spacing w:after="300"/>
              <w:rPr>
                <w:rFonts w:ascii="TT Norms Pro Regular" w:hAnsi="TT Norms Pro Regular"/>
                <w:color w:val="333333"/>
                <w:sz w:val="21"/>
                <w:szCs w:val="21"/>
                <w:lang w:val="en-GB" w:eastAsia="en-GB"/>
              </w:rPr>
            </w:pPr>
            <w:r>
              <w:rPr>
                <w:rFonts w:ascii="TT Norms Pro Regular" w:hAnsi="TT Norms Pro Regular"/>
                <w:color w:val="333333"/>
                <w:sz w:val="21"/>
                <w:szCs w:val="21"/>
              </w:rPr>
              <w:t>Varun Bose Chandrabose Sindhu;Udhayakumar Ramalingam;Savatović Milica;Deiveegan Arumugam;Todorčević Vesna;Radenović Stojan,Existence of Mild Solution of the Hilfer Fractional Differential Equations with Infinite Delay on an Infinite Interval, Fractal and Fractional,</w:t>
            </w:r>
            <w:r>
              <w:rPr>
                <w:rFonts w:ascii="TT Norms Pro Regular" w:hAnsi="TT Norms Pro Regular"/>
                <w:color w:val="333333"/>
                <w:sz w:val="21"/>
                <w:szCs w:val="21"/>
                <w:shd w:val="clear" w:color="auto" w:fill="FFFFFF"/>
              </w:rPr>
              <w:t xml:space="preserve"> vol. 7 br. 10 str. 724-72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A87945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2023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A87945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M21a</w:t>
            </w:r>
          </w:p>
        </w:tc>
      </w:tr>
      <w:tr w:rsidR="001D0765" w:rsidRPr="005C301F" w:rsidTr="001D0765">
        <w:trPr>
          <w:cantSplit/>
          <w:trHeight w:val="958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1D0765">
            <w:pPr>
              <w:widowControl w:val="0"/>
              <w:numPr>
                <w:ilvl w:val="0"/>
                <w:numId w:val="2"/>
              </w:numPr>
              <w:tabs>
                <w:tab w:val="clear" w:pos="7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18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Default="001D0765" w:rsidP="002B1E34">
            <w:pPr>
              <w:widowControl w:val="0"/>
              <w:rPr>
                <w:rFonts w:ascii="TT Norms Pro Regular" w:hAnsi="TT Norms Pro Regular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T Norms Pro Regular" w:hAnsi="TT Norms Pro Regular"/>
                <w:color w:val="333333"/>
                <w:sz w:val="21"/>
                <w:szCs w:val="21"/>
                <w:shd w:val="clear" w:color="auto" w:fill="FFFFFF"/>
              </w:rPr>
              <w:t>Patel Uma Devi;Todorčević Vesna;Radojević Slobodan;Radenović Stojan,</w:t>
            </w:r>
          </w:p>
          <w:p w:rsidR="00493E5F" w:rsidRDefault="001D0765" w:rsidP="002B1E34">
            <w:pPr>
              <w:widowControl w:val="0"/>
              <w:rPr>
                <w:rFonts w:ascii="TT Norms Pro Regular" w:hAnsi="TT Norms Pro Regular"/>
                <w:color w:val="333333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TT Norms Pro Regular" w:hAnsi="TT Norms Pro Regular"/>
                <w:color w:val="333333"/>
                <w:sz w:val="21"/>
                <w:szCs w:val="21"/>
                <w:shd w:val="clear" w:color="auto" w:fill="FFFFFF"/>
              </w:rPr>
              <w:t xml:space="preserve">Best Proximity Point for G(t)F-Fuzzy Proximal Contraction, </w:t>
            </w:r>
          </w:p>
          <w:p w:rsidR="001D0765" w:rsidRPr="00493E5F" w:rsidRDefault="001D0765" w:rsidP="00493E5F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T Norms Pro Regular" w:hAnsi="TT Norms Pro Regular"/>
                <w:color w:val="333333"/>
                <w:sz w:val="21"/>
                <w:szCs w:val="21"/>
                <w:shd w:val="clear" w:color="auto" w:fill="FFFFFF"/>
              </w:rPr>
              <w:t>Axioms,</w:t>
            </w:r>
            <w:r>
              <w:rPr>
                <w:rFonts w:ascii="TT Norms Pro Regular" w:hAnsi="TT Norms Pro Regular"/>
                <w:color w:val="333333"/>
                <w:sz w:val="21"/>
                <w:szCs w:val="21"/>
              </w:rPr>
              <w:t>vol. 12 br. 2 str. 165-165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A87945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2023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A87945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M21</w:t>
            </w:r>
          </w:p>
        </w:tc>
      </w:tr>
      <w:tr w:rsidR="001D0765" w:rsidRPr="005C301F" w:rsidTr="001D0765">
        <w:trPr>
          <w:cantSplit/>
          <w:trHeight w:val="958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1D0765">
            <w:pPr>
              <w:widowControl w:val="0"/>
              <w:numPr>
                <w:ilvl w:val="0"/>
                <w:numId w:val="2"/>
              </w:numPr>
              <w:tabs>
                <w:tab w:val="clear" w:pos="7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18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A87945" w:rsidRDefault="001D0765" w:rsidP="002B1E34">
            <w:pPr>
              <w:spacing w:after="300"/>
              <w:rPr>
                <w:rFonts w:ascii="TT Norms Pro Regular" w:hAnsi="TT Norms Pro Regular"/>
                <w:color w:val="333333"/>
                <w:sz w:val="21"/>
                <w:szCs w:val="21"/>
                <w:lang w:val="en-GB" w:eastAsia="en-GB"/>
              </w:rPr>
            </w:pPr>
            <w:r>
              <w:rPr>
                <w:rFonts w:ascii="TT Norms Pro Regular" w:hAnsi="TT Norms Pro Regular"/>
                <w:color w:val="333333"/>
                <w:sz w:val="21"/>
                <w:szCs w:val="21"/>
              </w:rPr>
              <w:t>Abdelhamid Moussoui;Vesna Todorčević;Mirjana Pantović; Stojan Radenović; Daid Melliani,Fixed Point Results via G-Transitive Binary Relation and Fuzzy L-R-Contraction,</w:t>
            </w:r>
            <w:r w:rsidR="00841033">
              <w:rPr>
                <w:rFonts w:ascii="TT Norms Pro Regular" w:hAnsi="TT Norms Pro Regular"/>
                <w:color w:val="333333"/>
                <w:sz w:val="21"/>
                <w:szCs w:val="21"/>
                <w:lang/>
              </w:rPr>
              <w:t xml:space="preserve"> </w:t>
            </w:r>
            <w:r>
              <w:rPr>
                <w:rFonts w:ascii="TT Norms Pro Regular" w:hAnsi="TT Norms Pro Regular"/>
                <w:color w:val="333333"/>
                <w:sz w:val="21"/>
                <w:szCs w:val="21"/>
              </w:rPr>
              <w:t>Mathematics,</w:t>
            </w:r>
            <w:r>
              <w:rPr>
                <w:rFonts w:ascii="TT Norms Pro Regular" w:hAnsi="TT Norms Pro Regular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r>
              <w:rPr>
                <w:rFonts w:ascii="TT Norms Pro Regular" w:hAnsi="TT Norms Pro Regular"/>
                <w:color w:val="333333"/>
                <w:sz w:val="21"/>
                <w:szCs w:val="21"/>
              </w:rPr>
              <w:t>vol. 11 br. 8 str. 1768-1768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A87945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2023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A87945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M21a</w:t>
            </w:r>
          </w:p>
        </w:tc>
      </w:tr>
      <w:tr w:rsidR="001D0765" w:rsidRPr="005C301F" w:rsidTr="001D0765">
        <w:trPr>
          <w:cantSplit/>
          <w:trHeight w:val="472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1D0765">
            <w:pPr>
              <w:widowControl w:val="0"/>
              <w:numPr>
                <w:ilvl w:val="0"/>
                <w:numId w:val="2"/>
              </w:numPr>
              <w:tabs>
                <w:tab w:val="clear" w:pos="7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18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3B6ECC" w:rsidRDefault="001D0765" w:rsidP="002B1E34">
            <w:pPr>
              <w:widowControl w:val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Todorčević Vesna, “Harmonic </w:t>
            </w:r>
            <w:r w:rsidR="00841033">
              <w:rPr>
                <w:rFonts w:ascii="Times New Roman" w:hAnsi="Times New Roman"/>
                <w:lang w:val="en-GB"/>
              </w:rPr>
              <w:t>q</w:t>
            </w:r>
            <w:r>
              <w:rPr>
                <w:rFonts w:ascii="Times New Roman" w:hAnsi="Times New Roman"/>
                <w:lang w:val="en-GB"/>
              </w:rPr>
              <w:t>uasiconformal mappings and Ahlfors regular domains part1”,IWGFT,Čenaj,Indija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3B6ECC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2023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3B6ECC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M32</w:t>
            </w:r>
          </w:p>
        </w:tc>
      </w:tr>
      <w:tr w:rsidR="001D0765" w:rsidRPr="005C301F" w:rsidTr="001D0765">
        <w:trPr>
          <w:cantSplit/>
          <w:trHeight w:val="458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1D0765">
            <w:pPr>
              <w:widowControl w:val="0"/>
              <w:numPr>
                <w:ilvl w:val="0"/>
                <w:numId w:val="2"/>
              </w:numPr>
              <w:tabs>
                <w:tab w:val="clear" w:pos="7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18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2B1E34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GB"/>
              </w:rPr>
              <w:t xml:space="preserve">Todorčević Vesna, “Harmonic </w:t>
            </w:r>
            <w:r w:rsidR="00841033">
              <w:rPr>
                <w:rFonts w:ascii="Times New Roman" w:hAnsi="Times New Roman"/>
                <w:lang w:val="en-GB"/>
              </w:rPr>
              <w:t>q</w:t>
            </w:r>
            <w:r>
              <w:rPr>
                <w:rFonts w:ascii="Times New Roman" w:hAnsi="Times New Roman"/>
                <w:lang w:val="en-GB"/>
              </w:rPr>
              <w:t>uasiconformal mappings and Ahlfors regular domains part2”, The 29</w:t>
            </w:r>
            <w:r w:rsidRPr="003B6ECC">
              <w:rPr>
                <w:rFonts w:ascii="Times New Roman" w:hAnsi="Times New Roman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lang w:val="en-GB"/>
              </w:rPr>
              <w:t xml:space="preserve"> ICFIDCAA-2023,Pondičeri,Indija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8B53A1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2023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8B53A1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M32</w:t>
            </w:r>
          </w:p>
        </w:tc>
      </w:tr>
      <w:tr w:rsidR="001D0765" w:rsidRPr="005C301F" w:rsidTr="001D0765">
        <w:trPr>
          <w:cantSplit/>
          <w:trHeight w:val="458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1D0765">
            <w:pPr>
              <w:widowControl w:val="0"/>
              <w:numPr>
                <w:ilvl w:val="0"/>
                <w:numId w:val="2"/>
              </w:numPr>
              <w:tabs>
                <w:tab w:val="clear" w:pos="7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18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6377E4" w:rsidRDefault="001D0765" w:rsidP="002B1E34">
            <w:pPr>
              <w:widowControl w:val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Todorčević Vesna, “Hp-theory for quasiregular mappings”, Mathematics Newsletter,Vol 34,no 1-2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6377E4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2023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6377E4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M51</w:t>
            </w:r>
          </w:p>
        </w:tc>
      </w:tr>
      <w:tr w:rsidR="001D0765" w:rsidRPr="005C301F" w:rsidTr="001D0765">
        <w:trPr>
          <w:cantSplit/>
          <w:trHeight w:val="236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5C301F" w:rsidRDefault="001D0765" w:rsidP="001D0765">
            <w:pPr>
              <w:widowControl w:val="0"/>
              <w:numPr>
                <w:ilvl w:val="0"/>
                <w:numId w:val="2"/>
              </w:numPr>
              <w:tabs>
                <w:tab w:val="clear" w:pos="7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18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8A6E5C" w:rsidRDefault="001D0765" w:rsidP="002B1E34">
            <w:pPr>
              <w:widowControl w:val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Todorčević Vesna, “</w:t>
            </w:r>
            <w:r>
              <w:t>Geometry of domains and harmonic analysis”</w:t>
            </w:r>
            <w:r>
              <w:rPr>
                <w:rFonts w:ascii="Times New Roman" w:hAnsi="Times New Roman"/>
                <w:lang w:val="en-GB"/>
              </w:rPr>
              <w:t>,</w:t>
            </w:r>
            <w:r>
              <w:rPr>
                <w:color w:val="212121"/>
                <w:shd w:val="clear" w:color="auto" w:fill="FFFFFF"/>
              </w:rPr>
              <w:t>ICCACFD 2024,Bubanešvar,Indija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6377E4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2024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</w:tcPr>
          <w:p w:rsidR="001D0765" w:rsidRPr="006377E4" w:rsidRDefault="001D0765" w:rsidP="002B1E34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M32</w:t>
            </w:r>
          </w:p>
        </w:tc>
      </w:tr>
    </w:tbl>
    <w:p w:rsidR="001D0765" w:rsidRDefault="001D0765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F14BEC" w:rsidRDefault="00F14BEC" w:rsidP="001D0765">
      <w:pPr>
        <w:pStyle w:val="ListParagraph"/>
        <w:rPr>
          <w:rFonts w:ascii="Tahoma" w:hAnsi="Tahoma" w:cs="Tahoma"/>
        </w:rPr>
      </w:pPr>
    </w:p>
    <w:p w:rsidR="00350177" w:rsidRDefault="00350177" w:rsidP="001D0765">
      <w:pPr>
        <w:pStyle w:val="ListParagraph"/>
        <w:rPr>
          <w:rFonts w:ascii="Tahoma" w:hAnsi="Tahoma" w:cs="Tahoma"/>
          <w:lang/>
        </w:rPr>
      </w:pPr>
    </w:p>
    <w:p w:rsidR="006B5E6F" w:rsidRDefault="006B5E6F" w:rsidP="001D0765">
      <w:pPr>
        <w:pStyle w:val="ListParagraph"/>
        <w:rPr>
          <w:rFonts w:ascii="Tahoma" w:hAnsi="Tahoma" w:cs="Tahoma"/>
          <w:lang/>
        </w:rPr>
      </w:pPr>
    </w:p>
    <w:p w:rsidR="006B5E6F" w:rsidRDefault="006B5E6F" w:rsidP="001D0765">
      <w:pPr>
        <w:pStyle w:val="ListParagraph"/>
        <w:rPr>
          <w:rFonts w:ascii="Tahoma" w:hAnsi="Tahoma" w:cs="Tahoma"/>
          <w:lang/>
        </w:rPr>
      </w:pPr>
    </w:p>
    <w:p w:rsidR="006B5E6F" w:rsidRDefault="006B5E6F" w:rsidP="001D0765">
      <w:pPr>
        <w:pStyle w:val="ListParagraph"/>
        <w:rPr>
          <w:rFonts w:ascii="Tahoma" w:hAnsi="Tahoma" w:cs="Tahoma"/>
          <w:lang/>
        </w:rPr>
      </w:pPr>
    </w:p>
    <w:p w:rsidR="006B5E6F" w:rsidRDefault="006B5E6F" w:rsidP="001D0765">
      <w:pPr>
        <w:pStyle w:val="ListParagraph"/>
        <w:rPr>
          <w:rFonts w:ascii="Tahoma" w:hAnsi="Tahoma" w:cs="Tahoma"/>
          <w:lang/>
        </w:rPr>
      </w:pPr>
    </w:p>
    <w:p w:rsidR="006B5E6F" w:rsidRDefault="006B5E6F" w:rsidP="001D0765">
      <w:pPr>
        <w:pStyle w:val="ListParagraph"/>
        <w:rPr>
          <w:rFonts w:ascii="Tahoma" w:hAnsi="Tahoma" w:cs="Tahoma"/>
          <w:lang/>
        </w:rPr>
      </w:pPr>
    </w:p>
    <w:p w:rsidR="006B5E6F" w:rsidRDefault="006B5E6F" w:rsidP="001D0765">
      <w:pPr>
        <w:pStyle w:val="ListParagraph"/>
        <w:rPr>
          <w:rFonts w:ascii="Tahoma" w:hAnsi="Tahoma" w:cs="Tahoma"/>
          <w:lang/>
        </w:rPr>
      </w:pPr>
    </w:p>
    <w:p w:rsidR="006B5E6F" w:rsidRDefault="006B5E6F" w:rsidP="001D0765">
      <w:pPr>
        <w:pStyle w:val="ListParagraph"/>
        <w:rPr>
          <w:rFonts w:ascii="Tahoma" w:hAnsi="Tahoma" w:cs="Tahoma"/>
          <w:lang/>
        </w:rPr>
      </w:pPr>
    </w:p>
    <w:p w:rsidR="006B5E6F" w:rsidRDefault="006B5E6F" w:rsidP="001D0765">
      <w:pPr>
        <w:pStyle w:val="ListParagraph"/>
        <w:rPr>
          <w:rFonts w:ascii="Tahoma" w:hAnsi="Tahoma" w:cs="Tahoma"/>
          <w:lang/>
        </w:rPr>
      </w:pPr>
    </w:p>
    <w:p w:rsidR="006B5E6F" w:rsidRDefault="006B5E6F" w:rsidP="001D0765">
      <w:pPr>
        <w:pStyle w:val="ListParagraph"/>
        <w:rPr>
          <w:rFonts w:ascii="Tahoma" w:hAnsi="Tahoma" w:cs="Tahoma"/>
          <w:lang/>
        </w:rPr>
      </w:pPr>
    </w:p>
    <w:p w:rsidR="006B5E6F" w:rsidRPr="006B5E6F" w:rsidRDefault="006B5E6F" w:rsidP="001D0765">
      <w:pPr>
        <w:pStyle w:val="ListParagraph"/>
        <w:rPr>
          <w:rFonts w:ascii="Tahoma" w:hAnsi="Tahoma" w:cs="Tahoma"/>
          <w:lang/>
        </w:rPr>
      </w:pPr>
    </w:p>
    <w:p w:rsidR="00350177" w:rsidRPr="00B8347F" w:rsidRDefault="00350177" w:rsidP="001D0765">
      <w:pPr>
        <w:pStyle w:val="ListParagraph"/>
        <w:rPr>
          <w:rFonts w:ascii="Tahoma" w:hAnsi="Tahoma" w:cs="Tahoma"/>
        </w:rPr>
      </w:pPr>
    </w:p>
    <w:p w:rsidR="001D0765" w:rsidRDefault="001D0765" w:rsidP="001D076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8347F">
        <w:rPr>
          <w:rFonts w:ascii="Tahoma" w:hAnsi="Tahoma" w:cs="Tahoma"/>
        </w:rPr>
        <w:lastRenderedPageBreak/>
        <w:t>Резултати у развоју научно-наставног подмлатка</w:t>
      </w:r>
      <w:r>
        <w:rPr>
          <w:rFonts w:ascii="Tahoma" w:hAnsi="Tahoma" w:cs="Tahoma"/>
        </w:rPr>
        <w:t xml:space="preserve"> (председавање или чланство у комисијама за избор у наставничка/сарадничка/истраживачка звања) </w:t>
      </w:r>
    </w:p>
    <w:p w:rsidR="00350177" w:rsidRPr="00350177" w:rsidRDefault="00350177" w:rsidP="00350177">
      <w:pPr>
        <w:rPr>
          <w:rFonts w:ascii="Tahoma" w:hAnsi="Tahoma" w:cs="Tahoma"/>
        </w:rPr>
      </w:pPr>
    </w:p>
    <w:p w:rsidR="002D5CB8" w:rsidRDefault="001D0765" w:rsidP="00350177">
      <w:pPr>
        <w:pStyle w:val="ListParagraph"/>
        <w:ind w:left="1080"/>
        <w:rPr>
          <w:rFonts w:ascii="Tahoma" w:hAnsi="Tahoma" w:cs="Tahoma"/>
          <w:lang w:val="en-GB"/>
        </w:rPr>
      </w:pPr>
      <w:r>
        <w:rPr>
          <w:rFonts w:ascii="Tahoma" w:hAnsi="Tahoma" w:cs="Tahoma"/>
          <w:lang/>
        </w:rPr>
        <w:t>Проф. д</w:t>
      </w:r>
      <w:r w:rsidRPr="009B2C89">
        <w:rPr>
          <w:rFonts w:ascii="Tahoma" w:hAnsi="Tahoma" w:cs="Tahoma"/>
        </w:rPr>
        <w:t>р Весна Тодорчевић</w:t>
      </w:r>
      <w:r w:rsidR="0046476D">
        <w:rPr>
          <w:rFonts w:ascii="Tahoma" w:hAnsi="Tahoma" w:cs="Tahoma"/>
          <w:lang/>
        </w:rPr>
        <w:t xml:space="preserve"> </w:t>
      </w:r>
      <w:r w:rsidR="00AA31AA" w:rsidRPr="009B2C89">
        <w:rPr>
          <w:rFonts w:ascii="Tahoma" w:hAnsi="Tahoma" w:cs="Tahoma"/>
        </w:rPr>
        <w:t>годинама успешно ради  на уздизању математичког подмлатка и популаризацији математике</w:t>
      </w:r>
      <w:r w:rsidR="00AA31AA">
        <w:rPr>
          <w:rFonts w:ascii="Tahoma" w:hAnsi="Tahoma" w:cs="Tahoma"/>
          <w:lang/>
        </w:rPr>
        <w:t>.</w:t>
      </w:r>
      <w:r w:rsidR="00C67364">
        <w:rPr>
          <w:rFonts w:ascii="Tahoma" w:hAnsi="Tahoma" w:cs="Tahoma"/>
          <w:lang/>
        </w:rPr>
        <w:t xml:space="preserve"> Била је председник и члан више комисија за избор наставника и сарадника на Факултету организационих наука, као и члан комисија за изборе у научна и истраживачка звања на Математичком институт САНУ.</w:t>
      </w:r>
    </w:p>
    <w:p w:rsidR="00350177" w:rsidRPr="00350177" w:rsidRDefault="00350177" w:rsidP="00350177">
      <w:pPr>
        <w:pStyle w:val="ListParagraph"/>
        <w:ind w:left="1080"/>
        <w:rPr>
          <w:rFonts w:ascii="Tahoma" w:hAnsi="Tahoma" w:cs="Tahoma"/>
          <w:lang w:val="en-GB"/>
        </w:rPr>
      </w:pPr>
    </w:p>
    <w:p w:rsidR="008F2D48" w:rsidRPr="00B8347F" w:rsidRDefault="002D5CB8" w:rsidP="001D076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8347F">
        <w:rPr>
          <w:rFonts w:ascii="Tahoma" w:hAnsi="Tahoma" w:cs="Tahoma"/>
        </w:rPr>
        <w:t xml:space="preserve">Стручно-професионални допринос </w:t>
      </w:r>
    </w:p>
    <w:p w:rsidR="002D5CB8" w:rsidRPr="00B8347F" w:rsidRDefault="002D5CB8" w:rsidP="002D5CB8">
      <w:pPr>
        <w:pStyle w:val="ListParagraph"/>
        <w:rPr>
          <w:rFonts w:ascii="Tahoma" w:hAnsi="Tahoma" w:cs="Tahoma"/>
        </w:rPr>
      </w:pPr>
    </w:p>
    <w:p w:rsidR="002D5CB8" w:rsidRPr="00E45C44" w:rsidRDefault="002D5CB8" w:rsidP="001D076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B8347F">
        <w:rPr>
          <w:rFonts w:ascii="Tahoma" w:hAnsi="Tahoma" w:cs="Tahoma"/>
        </w:rPr>
        <w:t>Председник или члан уређивачког одбора научног часописа или зборника радова у земљи или иностранству:</w:t>
      </w:r>
    </w:p>
    <w:p w:rsidR="00E45C44" w:rsidRPr="00E45C44" w:rsidRDefault="00E45C44" w:rsidP="00E45C44">
      <w:pPr>
        <w:ind w:left="1080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Члан уређивачког одбора Часописа за историју и филозофију науке Флогистон</w:t>
      </w:r>
      <w:r w:rsidR="0046476D">
        <w:rPr>
          <w:rFonts w:ascii="Tahoma" w:hAnsi="Tahoma" w:cs="Tahoma"/>
          <w:lang/>
        </w:rPr>
        <w:t>.</w:t>
      </w:r>
    </w:p>
    <w:p w:rsidR="004A6483" w:rsidRPr="00B8347F" w:rsidRDefault="004A6483" w:rsidP="004A6483">
      <w:pPr>
        <w:pStyle w:val="ListParagraph"/>
        <w:ind w:left="1440"/>
        <w:rPr>
          <w:rFonts w:ascii="Tahoma" w:hAnsi="Tahoma" w:cs="Tahoma"/>
        </w:rPr>
      </w:pPr>
    </w:p>
    <w:p w:rsidR="002D5CB8" w:rsidRPr="00554217" w:rsidRDefault="002D5CB8" w:rsidP="001D076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B8347F">
        <w:rPr>
          <w:rFonts w:ascii="Tahoma" w:hAnsi="Tahoma" w:cs="Tahoma"/>
        </w:rPr>
        <w:t>Председник или члан организационог одбора или учесник на стручним или научним скуповима националног или међународног нивоа:</w:t>
      </w:r>
    </w:p>
    <w:p w:rsidR="00554217" w:rsidRDefault="00C313BF" w:rsidP="00554217">
      <w:pPr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-</w:t>
      </w:r>
      <w:r w:rsidR="00554217">
        <w:rPr>
          <w:rFonts w:ascii="Tahoma" w:hAnsi="Tahoma" w:cs="Tahoma"/>
          <w:lang/>
        </w:rPr>
        <w:t xml:space="preserve">Члан </w:t>
      </w:r>
      <w:r>
        <w:rPr>
          <w:rFonts w:ascii="Tahoma" w:hAnsi="Tahoma" w:cs="Tahoma"/>
          <w:lang/>
        </w:rPr>
        <w:t>О</w:t>
      </w:r>
      <w:r w:rsidR="00554217">
        <w:rPr>
          <w:rFonts w:ascii="Tahoma" w:hAnsi="Tahoma" w:cs="Tahoma"/>
          <w:lang/>
        </w:rPr>
        <w:t>рганизационог одбора међународне конференције „</w:t>
      </w:r>
      <w:r w:rsidR="00554217">
        <w:rPr>
          <w:rFonts w:ascii="Tahoma" w:hAnsi="Tahoma" w:cs="Tahoma"/>
          <w:lang w:val="en-GB"/>
        </w:rPr>
        <w:t xml:space="preserve">International Conference on Complex Analysis and Computational Fluid Dynamics”, KIIT </w:t>
      </w:r>
      <w:r w:rsidR="00554217">
        <w:rPr>
          <w:rFonts w:ascii="Tahoma" w:hAnsi="Tahoma" w:cs="Tahoma"/>
          <w:lang/>
        </w:rPr>
        <w:t>у Бубанешвару у Индији 2024. године.</w:t>
      </w:r>
    </w:p>
    <w:p w:rsidR="00C313BF" w:rsidRPr="00C313BF" w:rsidRDefault="00C313BF" w:rsidP="00554217">
      <w:pPr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-Члан Програмског одбора међународне конференције „</w:t>
      </w:r>
      <w:r>
        <w:rPr>
          <w:rFonts w:ascii="Tahoma" w:hAnsi="Tahoma" w:cs="Tahoma"/>
          <w:lang w:val="en-GB"/>
        </w:rPr>
        <w:t xml:space="preserve">International conference on special functions,analytic functions, metrics and quasiconformality” , IIT Indore </w:t>
      </w:r>
      <w:r>
        <w:rPr>
          <w:rFonts w:ascii="Tahoma" w:hAnsi="Tahoma" w:cs="Tahoma"/>
          <w:lang/>
        </w:rPr>
        <w:t>у Индији 2024. године</w:t>
      </w:r>
    </w:p>
    <w:p w:rsidR="004A6483" w:rsidRPr="00C931E5" w:rsidRDefault="004A6483" w:rsidP="004A6483">
      <w:pPr>
        <w:pStyle w:val="ListParagraph"/>
        <w:ind w:left="1440"/>
        <w:rPr>
          <w:rFonts w:ascii="Tahoma" w:hAnsi="Tahoma" w:cs="Tahoma"/>
          <w:lang/>
        </w:rPr>
      </w:pPr>
    </w:p>
    <w:p w:rsidR="002D5CB8" w:rsidRPr="00B8347F" w:rsidRDefault="002D5CB8" w:rsidP="001D076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B8347F">
        <w:rPr>
          <w:rFonts w:ascii="Tahoma" w:hAnsi="Tahoma" w:cs="Tahoma"/>
        </w:rPr>
        <w:t xml:space="preserve">Председник или члан у комисијама за израду завршних радова на </w:t>
      </w:r>
      <w:r w:rsidR="004A6483" w:rsidRPr="00B8347F">
        <w:rPr>
          <w:rFonts w:ascii="Tahoma" w:hAnsi="Tahoma" w:cs="Tahoma"/>
        </w:rPr>
        <w:t>основним,</w:t>
      </w:r>
      <w:r w:rsidRPr="00B8347F">
        <w:rPr>
          <w:rFonts w:ascii="Tahoma" w:hAnsi="Tahoma" w:cs="Tahoma"/>
        </w:rPr>
        <w:t xml:space="preserve"> специјалистичким, мастер и докторским студијама:</w:t>
      </w:r>
    </w:p>
    <w:p w:rsidR="002D5CB8" w:rsidRPr="003A0BAB" w:rsidRDefault="00554217" w:rsidP="003A0BAB">
      <w:pPr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У протеклих пет година, проф.др Весна Тодорчевић била је ментор три докторске дисертације докторских студија при Универзитету у Београду,</w:t>
      </w:r>
      <w:r w:rsidR="00C313BF">
        <w:rPr>
          <w:rFonts w:ascii="Tahoma" w:hAnsi="Tahoma" w:cs="Tahoma"/>
          <w:lang/>
        </w:rPr>
        <w:t xml:space="preserve"> </w:t>
      </w:r>
      <w:r>
        <w:rPr>
          <w:rFonts w:ascii="Tahoma" w:hAnsi="Tahoma" w:cs="Tahoma"/>
          <w:lang/>
        </w:rPr>
        <w:t xml:space="preserve">члан комисија за одбрану докторског, као и више завршних радова на мастер и основним академским студијама на Факултету организационих наука као и студијама при Универзитету у Београду. </w:t>
      </w:r>
    </w:p>
    <w:p w:rsidR="004A6483" w:rsidRPr="00B8347F" w:rsidRDefault="004A6483" w:rsidP="004A6483">
      <w:pPr>
        <w:pStyle w:val="ListParagraph"/>
        <w:ind w:left="1440"/>
        <w:rPr>
          <w:rFonts w:ascii="Tahoma" w:hAnsi="Tahoma" w:cs="Tahoma"/>
        </w:rPr>
      </w:pPr>
    </w:p>
    <w:p w:rsidR="002D5CB8" w:rsidRPr="00554217" w:rsidRDefault="002D5CB8" w:rsidP="001D076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B8347F">
        <w:rPr>
          <w:rFonts w:ascii="Tahoma" w:hAnsi="Tahoma" w:cs="Tahoma"/>
        </w:rPr>
        <w:t>Руководилац или сарадник у реализацији пројеката:</w:t>
      </w:r>
    </w:p>
    <w:p w:rsidR="00554217" w:rsidRPr="00B8347F" w:rsidRDefault="00554217" w:rsidP="00554217">
      <w:pPr>
        <w:pStyle w:val="ListParagraph"/>
        <w:ind w:left="1440"/>
        <w:rPr>
          <w:rFonts w:ascii="Tahoma" w:hAnsi="Tahoma" w:cs="Tahoma"/>
        </w:rPr>
      </w:pPr>
    </w:p>
    <w:p w:rsidR="00554217" w:rsidRDefault="00554217" w:rsidP="00554217">
      <w:pPr>
        <w:pStyle w:val="ListParagraph"/>
        <w:ind w:left="1080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Руководилац Пројекта припремне наставе за пријемни испит на ФОН-у 2021.</w:t>
      </w:r>
    </w:p>
    <w:p w:rsidR="004A6483" w:rsidRPr="00B8347F" w:rsidRDefault="004A6483" w:rsidP="004A6483">
      <w:pPr>
        <w:pStyle w:val="ListParagraph"/>
        <w:ind w:left="1440"/>
        <w:rPr>
          <w:rFonts w:ascii="Tahoma" w:hAnsi="Tahoma" w:cs="Tahoma"/>
        </w:rPr>
      </w:pPr>
    </w:p>
    <w:p w:rsidR="00620A3D" w:rsidRPr="00B8347F" w:rsidRDefault="00620A3D" w:rsidP="001D0765">
      <w:pPr>
        <w:pStyle w:val="ListParagraph"/>
        <w:numPr>
          <w:ilvl w:val="1"/>
          <w:numId w:val="1"/>
        </w:numPr>
        <w:ind w:left="927"/>
        <w:rPr>
          <w:rFonts w:ascii="Tahoma" w:hAnsi="Tahoma" w:cs="Tahoma"/>
        </w:rPr>
      </w:pPr>
      <w:r w:rsidRPr="00B8347F">
        <w:rPr>
          <w:rFonts w:ascii="Tahoma" w:hAnsi="Tahoma" w:cs="Tahoma"/>
        </w:rPr>
        <w:t>Иноватор, аутор или коаутор прихваћеног патента, техничког унапређења, експертиза, рецензија радова или пројеката:</w:t>
      </w:r>
    </w:p>
    <w:p w:rsidR="004A6483" w:rsidRPr="003A0BAB" w:rsidRDefault="00BC7661" w:rsidP="003A0BAB">
      <w:pPr>
        <w:rPr>
          <w:rFonts w:ascii="Tahoma" w:hAnsi="Tahoma" w:cs="Tahoma"/>
          <w:lang/>
        </w:rPr>
      </w:pPr>
      <w:r>
        <w:rPr>
          <w:rFonts w:ascii="Tahoma" w:hAnsi="Tahoma" w:cs="Tahoma"/>
        </w:rPr>
        <w:t>-</w:t>
      </w:r>
      <w:r w:rsidR="00620A3D" w:rsidRPr="009B2C89">
        <w:rPr>
          <w:rFonts w:ascii="Tahoma" w:hAnsi="Tahoma" w:cs="Tahoma"/>
        </w:rPr>
        <w:t>Налази се на листи рецензената више истакнутих међународних часописа</w:t>
      </w:r>
    </w:p>
    <w:p w:rsidR="002D5CB8" w:rsidRPr="003A0BAB" w:rsidRDefault="00BC7661" w:rsidP="003A0BAB">
      <w:pPr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-</w:t>
      </w:r>
      <w:r w:rsidRPr="009B2C89">
        <w:rPr>
          <w:rFonts w:ascii="Tahoma" w:hAnsi="Tahoma" w:cs="Tahoma"/>
        </w:rPr>
        <w:t>Сарадник је реферативних часописа Zentralblatt für Mathematik и Mathematical Reviews.</w:t>
      </w:r>
    </w:p>
    <w:p w:rsidR="004A6483" w:rsidRPr="00B8347F" w:rsidRDefault="004A6483" w:rsidP="004A6483">
      <w:pPr>
        <w:pStyle w:val="ListParagraph"/>
        <w:rPr>
          <w:rFonts w:ascii="Tahoma" w:hAnsi="Tahoma" w:cs="Tahoma"/>
        </w:rPr>
      </w:pPr>
    </w:p>
    <w:p w:rsidR="004A6483" w:rsidRPr="00B8347F" w:rsidRDefault="004A6483" w:rsidP="004A6483">
      <w:pPr>
        <w:pStyle w:val="ListParagraph"/>
        <w:ind w:left="1440"/>
        <w:rPr>
          <w:rFonts w:ascii="Tahoma" w:hAnsi="Tahoma" w:cs="Tahoma"/>
        </w:rPr>
      </w:pPr>
    </w:p>
    <w:p w:rsidR="002D5CB8" w:rsidRPr="00B8347F" w:rsidRDefault="002D5CB8" w:rsidP="001D076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8347F">
        <w:rPr>
          <w:rFonts w:ascii="Tahoma" w:hAnsi="Tahoma" w:cs="Tahoma"/>
        </w:rPr>
        <w:t>Допринос академској и широј заједници:</w:t>
      </w:r>
    </w:p>
    <w:p w:rsidR="004A6483" w:rsidRPr="00B8347F" w:rsidRDefault="004A6483" w:rsidP="004A6483">
      <w:pPr>
        <w:pStyle w:val="ListParagraph"/>
        <w:ind w:left="1080"/>
        <w:rPr>
          <w:rFonts w:ascii="Tahoma" w:hAnsi="Tahoma" w:cs="Tahoma"/>
        </w:rPr>
      </w:pPr>
    </w:p>
    <w:p w:rsidR="002D5CB8" w:rsidRPr="00B8347F" w:rsidRDefault="002D5CB8" w:rsidP="001D076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B8347F">
        <w:rPr>
          <w:rFonts w:ascii="Tahoma" w:hAnsi="Tahoma" w:cs="Tahoma"/>
        </w:rPr>
        <w:t>Председник или члан органа управљања, стручног органа, помоћних стручних органа или комисија на факултету или универзитету у земљи или иностранству:</w:t>
      </w:r>
    </w:p>
    <w:p w:rsidR="00B528A6" w:rsidRPr="00B528A6" w:rsidRDefault="00B528A6" w:rsidP="00B528A6">
      <w:pPr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Од октобра 2021.до октобра 2022. била</w:t>
      </w:r>
      <w:r w:rsidRPr="009B2C89">
        <w:rPr>
          <w:rFonts w:ascii="Tahoma" w:hAnsi="Tahoma" w:cs="Tahoma"/>
        </w:rPr>
        <w:t xml:space="preserve"> је </w:t>
      </w:r>
      <w:r>
        <w:rPr>
          <w:rFonts w:ascii="Tahoma" w:hAnsi="Tahoma" w:cs="Tahoma"/>
          <w:lang/>
        </w:rPr>
        <w:t xml:space="preserve">председник </w:t>
      </w:r>
      <w:r w:rsidRPr="009B2C89">
        <w:rPr>
          <w:rFonts w:ascii="Tahoma" w:hAnsi="Tahoma" w:cs="Tahoma"/>
        </w:rPr>
        <w:t>Програмског савета</w:t>
      </w:r>
      <w:r>
        <w:rPr>
          <w:rFonts w:ascii="Tahoma" w:hAnsi="Tahoma" w:cs="Tahoma"/>
          <w:lang/>
        </w:rPr>
        <w:t xml:space="preserve"> и руководилац</w:t>
      </w:r>
      <w:r w:rsidRPr="009B2C89">
        <w:rPr>
          <w:rFonts w:ascii="Tahoma" w:hAnsi="Tahoma" w:cs="Tahoma"/>
        </w:rPr>
        <w:t xml:space="preserve"> студијског програма Историја и филозофија природних наука и технологије </w:t>
      </w:r>
      <w:r>
        <w:rPr>
          <w:rFonts w:ascii="Tahoma" w:hAnsi="Tahoma" w:cs="Tahoma"/>
          <w:lang/>
        </w:rPr>
        <w:t>докторских студија при Универзитету у Београду.</w:t>
      </w:r>
    </w:p>
    <w:p w:rsidR="002D5CB8" w:rsidRPr="001756BF" w:rsidRDefault="002D5CB8" w:rsidP="001756BF">
      <w:pPr>
        <w:rPr>
          <w:rFonts w:ascii="Tahoma" w:hAnsi="Tahoma" w:cs="Tahoma"/>
          <w:lang/>
        </w:rPr>
      </w:pPr>
    </w:p>
    <w:p w:rsidR="004A6483" w:rsidRPr="00B8347F" w:rsidRDefault="004A6483" w:rsidP="004A6483">
      <w:pPr>
        <w:pStyle w:val="ListParagraph"/>
        <w:rPr>
          <w:rFonts w:ascii="Tahoma" w:hAnsi="Tahoma" w:cs="Tahoma"/>
        </w:rPr>
      </w:pPr>
    </w:p>
    <w:p w:rsidR="004A6483" w:rsidRPr="00B8347F" w:rsidRDefault="004A6483" w:rsidP="004A6483">
      <w:pPr>
        <w:pStyle w:val="ListParagraph"/>
        <w:ind w:left="1440"/>
        <w:rPr>
          <w:rFonts w:ascii="Tahoma" w:hAnsi="Tahoma" w:cs="Tahoma"/>
        </w:rPr>
      </w:pPr>
    </w:p>
    <w:p w:rsidR="002D5CB8" w:rsidRPr="00B8347F" w:rsidRDefault="002D5CB8" w:rsidP="001D076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B8347F">
        <w:rPr>
          <w:rFonts w:ascii="Tahoma" w:hAnsi="Tahoma" w:cs="Tahoma"/>
        </w:rPr>
        <w:t>Руковођење активностима од значаја за развој и углед факултета, односно Универзитета:</w:t>
      </w:r>
    </w:p>
    <w:p w:rsidR="004A6483" w:rsidRPr="00B8347F" w:rsidRDefault="004A6483" w:rsidP="004A6483">
      <w:pPr>
        <w:pStyle w:val="ListParagraph"/>
        <w:ind w:left="1440"/>
        <w:rPr>
          <w:rFonts w:ascii="Tahoma" w:hAnsi="Tahoma" w:cs="Tahoma"/>
        </w:rPr>
      </w:pPr>
    </w:p>
    <w:p w:rsidR="00B528A6" w:rsidRDefault="00B528A6" w:rsidP="00B528A6">
      <w:pPr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-Међународна сарадња са ауторима књиге „ Иза кулиса стваралаштва“ Каролом Бефом и добитником Филдсове медаље Седриком Виланијем, руковођење организације доласка Карола Бефе у Београд поводом промоције превода књиге, гостујући уредник и стручна редактура за математику и музику наведене књиге у мају 2021. године.</w:t>
      </w:r>
    </w:p>
    <w:p w:rsidR="002D5CB8" w:rsidRPr="00B8347F" w:rsidRDefault="002D5CB8" w:rsidP="003A0BAB">
      <w:pPr>
        <w:pStyle w:val="ListParagraph"/>
        <w:ind w:left="1440"/>
        <w:rPr>
          <w:rFonts w:ascii="Tahoma" w:hAnsi="Tahoma" w:cs="Tahoma"/>
        </w:rPr>
      </w:pPr>
    </w:p>
    <w:p w:rsidR="004A6483" w:rsidRPr="00B8347F" w:rsidRDefault="004A6483" w:rsidP="004A6483">
      <w:pPr>
        <w:pStyle w:val="ListParagraph"/>
        <w:rPr>
          <w:rFonts w:ascii="Tahoma" w:hAnsi="Tahoma" w:cs="Tahoma"/>
        </w:rPr>
      </w:pPr>
    </w:p>
    <w:p w:rsidR="004A6483" w:rsidRPr="00B8347F" w:rsidRDefault="004A6483" w:rsidP="004A6483">
      <w:pPr>
        <w:pStyle w:val="ListParagraph"/>
        <w:ind w:left="1440"/>
        <w:rPr>
          <w:rFonts w:ascii="Tahoma" w:hAnsi="Tahoma" w:cs="Tahoma"/>
        </w:rPr>
      </w:pPr>
    </w:p>
    <w:p w:rsidR="002D5CB8" w:rsidRPr="00B6289A" w:rsidRDefault="002D5CB8" w:rsidP="001D076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B8347F">
        <w:rPr>
          <w:rFonts w:ascii="Tahoma" w:hAnsi="Tahoma" w:cs="Tahoma"/>
        </w:rPr>
        <w:t>Учешће у наставним активностима који не носе ЕСПБ бодове (перманентно образовање, курсеви у организацији професионалних удружења и институција или сл.):</w:t>
      </w:r>
    </w:p>
    <w:p w:rsidR="00B6289A" w:rsidRPr="00B528A6" w:rsidRDefault="00B6289A" w:rsidP="00B6289A">
      <w:pPr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 xml:space="preserve">Проф. др </w:t>
      </w:r>
      <w:r w:rsidR="00B528A6">
        <w:rPr>
          <w:rFonts w:ascii="Tahoma" w:hAnsi="Tahoma" w:cs="Tahoma"/>
          <w:lang/>
        </w:rPr>
        <w:t>В</w:t>
      </w:r>
      <w:r>
        <w:rPr>
          <w:rFonts w:ascii="Tahoma" w:hAnsi="Tahoma" w:cs="Tahoma"/>
          <w:lang/>
        </w:rPr>
        <w:t xml:space="preserve">есна Тодорчевић </w:t>
      </w:r>
      <w:r w:rsidR="00B528A6">
        <w:rPr>
          <w:rFonts w:ascii="Tahoma" w:hAnsi="Tahoma" w:cs="Tahoma"/>
          <w:lang/>
        </w:rPr>
        <w:t xml:space="preserve">је по позиву </w:t>
      </w:r>
      <w:r>
        <w:rPr>
          <w:rFonts w:ascii="Tahoma" w:hAnsi="Tahoma" w:cs="Tahoma"/>
          <w:lang/>
        </w:rPr>
        <w:t>одржала осам предавања у оквиру миникурса „</w:t>
      </w:r>
      <w:r w:rsidR="00B528A6">
        <w:rPr>
          <w:rFonts w:ascii="Tahoma" w:hAnsi="Tahoma" w:cs="Tahoma"/>
          <w:lang w:val="en-GB"/>
        </w:rPr>
        <w:t>H</w:t>
      </w:r>
      <w:r>
        <w:rPr>
          <w:rFonts w:ascii="Tahoma" w:hAnsi="Tahoma" w:cs="Tahoma"/>
          <w:lang w:val="en-GB"/>
        </w:rPr>
        <w:t xml:space="preserve">armonic </w:t>
      </w:r>
      <w:r w:rsidR="00B528A6">
        <w:rPr>
          <w:rFonts w:ascii="Tahoma" w:hAnsi="Tahoma" w:cs="Tahoma"/>
          <w:lang w:val="en-GB"/>
        </w:rPr>
        <w:t xml:space="preserve">quasiconformal mappings and hyperbolic type metrics” </w:t>
      </w:r>
      <w:r w:rsidR="00B528A6">
        <w:rPr>
          <w:rFonts w:ascii="Tahoma" w:hAnsi="Tahoma" w:cs="Tahoma"/>
          <w:lang/>
        </w:rPr>
        <w:t xml:space="preserve">на </w:t>
      </w:r>
      <w:r w:rsidR="00B528A6">
        <w:rPr>
          <w:rFonts w:ascii="Tahoma" w:hAnsi="Tahoma" w:cs="Tahoma"/>
          <w:lang w:val="en-GB"/>
        </w:rPr>
        <w:t xml:space="preserve">Beijing Normal University </w:t>
      </w:r>
      <w:r w:rsidR="00B528A6">
        <w:rPr>
          <w:rFonts w:ascii="Tahoma" w:hAnsi="Tahoma" w:cs="Tahoma"/>
          <w:lang/>
        </w:rPr>
        <w:t>у Пекингу 2024. године.</w:t>
      </w:r>
    </w:p>
    <w:p w:rsidR="004A6483" w:rsidRPr="00B8347F" w:rsidRDefault="004A6483" w:rsidP="004A6483">
      <w:pPr>
        <w:pStyle w:val="ListParagraph"/>
        <w:ind w:left="1440"/>
        <w:rPr>
          <w:rFonts w:ascii="Tahoma" w:hAnsi="Tahoma" w:cs="Tahoma"/>
        </w:rPr>
      </w:pPr>
    </w:p>
    <w:p w:rsidR="004A6483" w:rsidRPr="00AA31AA" w:rsidRDefault="002D5CB8" w:rsidP="001D076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B8347F">
        <w:rPr>
          <w:rFonts w:ascii="Tahoma" w:hAnsi="Tahoma" w:cs="Tahoma"/>
        </w:rPr>
        <w:t>Домаће или међународне награде и признања у развоју образовања или науке:</w:t>
      </w:r>
    </w:p>
    <w:p w:rsidR="00AA31AA" w:rsidRPr="00AA31AA" w:rsidRDefault="00AA31AA" w:rsidP="00AA31AA">
      <w:pPr>
        <w:pStyle w:val="ListParagraph"/>
        <w:ind w:left="1440"/>
        <w:rPr>
          <w:rFonts w:ascii="Tahoma" w:hAnsi="Tahoma" w:cs="Tahoma"/>
        </w:rPr>
      </w:pPr>
    </w:p>
    <w:p w:rsidR="00AA31AA" w:rsidRDefault="00AA31AA" w:rsidP="00AA31AA">
      <w:pPr>
        <w:pStyle w:val="ListParagraph"/>
        <w:ind w:left="1080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- Захвалница Центра за промоцију науке за 10 година сарадње и доприносе и учешће у манифестацији Мај месец математике, 2021. године.</w:t>
      </w:r>
    </w:p>
    <w:p w:rsidR="004A6483" w:rsidRPr="00D312C7" w:rsidRDefault="00AA31AA" w:rsidP="00D312C7">
      <w:pPr>
        <w:rPr>
          <w:rFonts w:ascii="Tahoma" w:hAnsi="Tahoma" w:cs="Tahoma"/>
          <w:lang/>
        </w:rPr>
      </w:pPr>
      <w:r w:rsidRPr="00D312C7">
        <w:rPr>
          <w:rFonts w:ascii="Tahoma" w:hAnsi="Tahoma" w:cs="Tahoma"/>
          <w:lang/>
        </w:rPr>
        <w:t>-</w:t>
      </w:r>
      <w:r w:rsidR="00B6289A" w:rsidRPr="00D312C7">
        <w:rPr>
          <w:rFonts w:ascii="Tahoma" w:hAnsi="Tahoma" w:cs="Tahoma"/>
          <w:lang/>
        </w:rPr>
        <w:t>Признање Департмана за математику Универзитета у Пондичерију у Индији за истакнуте доприносе комплексној анализи и применама 2023. године</w:t>
      </w:r>
      <w:r w:rsidRPr="00D312C7">
        <w:rPr>
          <w:rFonts w:ascii="Tahoma" w:hAnsi="Tahoma" w:cs="Tahoma"/>
          <w:lang/>
        </w:rPr>
        <w:t>.</w:t>
      </w:r>
    </w:p>
    <w:p w:rsidR="00AA31AA" w:rsidRPr="00B6289A" w:rsidRDefault="00AA31AA" w:rsidP="004A6483">
      <w:pPr>
        <w:pStyle w:val="ListParagraph"/>
        <w:rPr>
          <w:rFonts w:ascii="Tahoma" w:hAnsi="Tahoma" w:cs="Tahoma"/>
          <w:lang/>
        </w:rPr>
      </w:pPr>
    </w:p>
    <w:p w:rsidR="004A6483" w:rsidRPr="00B8347F" w:rsidRDefault="004A6483" w:rsidP="004A6483">
      <w:pPr>
        <w:rPr>
          <w:rFonts w:ascii="Tahoma" w:hAnsi="Tahoma" w:cs="Tahoma"/>
        </w:rPr>
      </w:pPr>
    </w:p>
    <w:p w:rsidR="002D5CB8" w:rsidRPr="00B8347F" w:rsidRDefault="002D5CB8" w:rsidP="001D076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8347F">
        <w:rPr>
          <w:rFonts w:ascii="Tahoma" w:hAnsi="Tahoma" w:cs="Tahoma"/>
        </w:rPr>
        <w:lastRenderedPageBreak/>
        <w:t xml:space="preserve">Сарадња са другим високошколским научноистраживачким установама, односно </w:t>
      </w:r>
      <w:r w:rsidR="00B8347F" w:rsidRPr="00B8347F">
        <w:rPr>
          <w:rFonts w:ascii="Tahoma" w:hAnsi="Tahoma" w:cs="Tahoma"/>
        </w:rPr>
        <w:t>установама</w:t>
      </w:r>
      <w:r w:rsidRPr="00B8347F">
        <w:rPr>
          <w:rFonts w:ascii="Tahoma" w:hAnsi="Tahoma" w:cs="Tahoma"/>
        </w:rPr>
        <w:t xml:space="preserve"> културе или уметности у земљи и иностранству</w:t>
      </w:r>
    </w:p>
    <w:p w:rsidR="004A6483" w:rsidRPr="00B8347F" w:rsidRDefault="004A6483" w:rsidP="004A6483">
      <w:pPr>
        <w:rPr>
          <w:rFonts w:ascii="Tahoma" w:hAnsi="Tahoma" w:cs="Tahoma"/>
        </w:rPr>
      </w:pPr>
    </w:p>
    <w:p w:rsidR="002D5CB8" w:rsidRPr="00C825F2" w:rsidRDefault="002D5CB8" w:rsidP="001D076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B8347F">
        <w:rPr>
          <w:rFonts w:ascii="Tahoma" w:hAnsi="Tahoma" w:cs="Tahoma"/>
        </w:rPr>
        <w:t>Учешће у реализацији пројеката, студија или других научних остварења са другим високошколским или научноистраживачким установама у земљи или иностранству:</w:t>
      </w:r>
    </w:p>
    <w:p w:rsidR="00C825F2" w:rsidRPr="00C825F2" w:rsidRDefault="00C825F2" w:rsidP="00C825F2">
      <w:pPr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 xml:space="preserve">До 2023. године била је ангажована на „Стратешко научноистраживачком пројекту (ОИ) Министарства науке РС број 174024,144016 чији су руководиоци били академик Стеван Пилиповић и проф.др Марко Недељков са Департмана за математику </w:t>
      </w:r>
      <w:r w:rsidR="00CB3B61">
        <w:rPr>
          <w:rFonts w:ascii="Tahoma" w:hAnsi="Tahoma" w:cs="Tahoma"/>
          <w:lang/>
        </w:rPr>
        <w:t xml:space="preserve">и информатику </w:t>
      </w:r>
      <w:r>
        <w:rPr>
          <w:rFonts w:ascii="Tahoma" w:hAnsi="Tahoma" w:cs="Tahoma"/>
          <w:lang/>
        </w:rPr>
        <w:t>Универзитет</w:t>
      </w:r>
      <w:r w:rsidR="00356365">
        <w:rPr>
          <w:rFonts w:ascii="Tahoma" w:hAnsi="Tahoma" w:cs="Tahoma"/>
          <w:lang/>
        </w:rPr>
        <w:t>а</w:t>
      </w:r>
      <w:r>
        <w:rPr>
          <w:rFonts w:ascii="Tahoma" w:hAnsi="Tahoma" w:cs="Tahoma"/>
          <w:lang/>
        </w:rPr>
        <w:t xml:space="preserve"> у Новом Саду.</w:t>
      </w:r>
    </w:p>
    <w:p w:rsidR="004A6483" w:rsidRPr="00B8347F" w:rsidRDefault="004A6483" w:rsidP="004A6483">
      <w:pPr>
        <w:pStyle w:val="ListParagraph"/>
        <w:ind w:left="1440"/>
        <w:rPr>
          <w:rFonts w:ascii="Tahoma" w:hAnsi="Tahoma" w:cs="Tahoma"/>
        </w:rPr>
      </w:pPr>
    </w:p>
    <w:p w:rsidR="002D5CB8" w:rsidRPr="00B6289A" w:rsidRDefault="002D5CB8" w:rsidP="001D076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B8347F">
        <w:rPr>
          <w:rFonts w:ascii="Tahoma" w:hAnsi="Tahoma" w:cs="Tahoma"/>
        </w:rPr>
        <w:t>Радно ангажовање у настави или комисијама на другим високошколским или научноистраживачким установама у земљи или иностранству:</w:t>
      </w:r>
    </w:p>
    <w:p w:rsidR="00B6289A" w:rsidRPr="00B6289A" w:rsidRDefault="00B6289A" w:rsidP="00B6289A">
      <w:pPr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У последњих пет година проф. др Весна Тодорчевић била је члан неколико комисија за избор у звање виши научни саветник и научни сарадник на Математичком институт САНУ.</w:t>
      </w:r>
    </w:p>
    <w:p w:rsidR="004A6483" w:rsidRPr="00B8347F" w:rsidRDefault="004A6483" w:rsidP="004A6483">
      <w:pPr>
        <w:pStyle w:val="ListParagraph"/>
        <w:rPr>
          <w:rFonts w:ascii="Tahoma" w:hAnsi="Tahoma" w:cs="Tahoma"/>
        </w:rPr>
      </w:pPr>
    </w:p>
    <w:p w:rsidR="004A6483" w:rsidRPr="00B8347F" w:rsidRDefault="004A6483" w:rsidP="004A6483">
      <w:pPr>
        <w:pStyle w:val="ListParagraph"/>
        <w:ind w:left="1440"/>
        <w:rPr>
          <w:rFonts w:ascii="Tahoma" w:hAnsi="Tahoma" w:cs="Tahoma"/>
        </w:rPr>
      </w:pPr>
    </w:p>
    <w:p w:rsidR="002D5CB8" w:rsidRPr="00B6289A" w:rsidRDefault="002D5CB8" w:rsidP="001D076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B8347F">
        <w:rPr>
          <w:rFonts w:ascii="Tahoma" w:hAnsi="Tahoma" w:cs="Tahoma"/>
        </w:rPr>
        <w:t xml:space="preserve">Руковођење или чланство у органима или </w:t>
      </w:r>
      <w:r w:rsidR="00B8347F" w:rsidRPr="00B8347F">
        <w:rPr>
          <w:rFonts w:ascii="Tahoma" w:hAnsi="Tahoma" w:cs="Tahoma"/>
        </w:rPr>
        <w:t>професионалним</w:t>
      </w:r>
      <w:r w:rsidRPr="00B8347F">
        <w:rPr>
          <w:rFonts w:ascii="Tahoma" w:hAnsi="Tahoma" w:cs="Tahoma"/>
        </w:rPr>
        <w:t xml:space="preserve"> удружењима или организацијама националног или међународног нивоа:</w:t>
      </w:r>
    </w:p>
    <w:p w:rsidR="00B6289A" w:rsidRPr="001756BF" w:rsidRDefault="00B6289A" w:rsidP="00B6289A">
      <w:pPr>
        <w:pStyle w:val="ListParagraph"/>
        <w:ind w:left="1440"/>
        <w:rPr>
          <w:rFonts w:ascii="Tahoma" w:hAnsi="Tahoma" w:cs="Tahoma"/>
        </w:rPr>
      </w:pPr>
    </w:p>
    <w:p w:rsidR="004A6483" w:rsidRDefault="00AA31AA" w:rsidP="004A6483">
      <w:pPr>
        <w:pStyle w:val="ListParagraph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-</w:t>
      </w:r>
      <w:r w:rsidR="00B6289A">
        <w:rPr>
          <w:rFonts w:ascii="Tahoma" w:hAnsi="Tahoma" w:cs="Tahoma"/>
          <w:lang/>
        </w:rPr>
        <w:t>Руководилац је</w:t>
      </w:r>
      <w:r w:rsidR="00356365">
        <w:rPr>
          <w:rFonts w:ascii="Tahoma" w:hAnsi="Tahoma" w:cs="Tahoma"/>
          <w:lang/>
        </w:rPr>
        <w:t>,</w:t>
      </w:r>
      <w:r w:rsidR="00B6289A">
        <w:rPr>
          <w:rFonts w:ascii="Tahoma" w:hAnsi="Tahoma" w:cs="Tahoma"/>
          <w:lang/>
        </w:rPr>
        <w:t xml:space="preserve"> више од 5 година</w:t>
      </w:r>
      <w:r w:rsidR="00356365">
        <w:rPr>
          <w:rFonts w:ascii="Tahoma" w:hAnsi="Tahoma" w:cs="Tahoma"/>
          <w:lang/>
        </w:rPr>
        <w:t>,</w:t>
      </w:r>
      <w:r w:rsidR="00B6289A">
        <w:rPr>
          <w:rFonts w:ascii="Tahoma" w:hAnsi="Tahoma" w:cs="Tahoma"/>
          <w:lang/>
        </w:rPr>
        <w:t xml:space="preserve"> семинара „Математика и музика“ на Математичком институту САНУ.</w:t>
      </w:r>
    </w:p>
    <w:p w:rsidR="00AA31AA" w:rsidRPr="00B6289A" w:rsidRDefault="00AA31AA" w:rsidP="004A6483">
      <w:pPr>
        <w:pStyle w:val="ListParagraph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- Члан Европског друштва жена у математици од 2019. године.</w:t>
      </w:r>
    </w:p>
    <w:p w:rsidR="004A6483" w:rsidRPr="00B8347F" w:rsidRDefault="004A6483" w:rsidP="004A6483">
      <w:pPr>
        <w:rPr>
          <w:rFonts w:ascii="Tahoma" w:hAnsi="Tahoma" w:cs="Tahoma"/>
        </w:rPr>
      </w:pPr>
    </w:p>
    <w:p w:rsidR="00D153F8" w:rsidRPr="00D153F8" w:rsidRDefault="002D5CB8" w:rsidP="001D076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B8347F">
        <w:rPr>
          <w:rFonts w:ascii="Tahoma" w:hAnsi="Tahoma" w:cs="Tahoma"/>
        </w:rPr>
        <w:t>Гостовања и предавања по позиву на универзитетима у земљи или иностранству</w:t>
      </w:r>
    </w:p>
    <w:p w:rsidR="004F5D7A" w:rsidRPr="004F5D7A" w:rsidRDefault="00D153F8" w:rsidP="004A6483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/>
        </w:rPr>
        <w:t>-</w:t>
      </w:r>
      <w:r w:rsidR="001756BF">
        <w:rPr>
          <w:rFonts w:ascii="Tahoma" w:hAnsi="Tahoma" w:cs="Tahoma"/>
          <w:lang/>
        </w:rPr>
        <w:t xml:space="preserve">Предавање по позиву на 8. Европском конгресу математичара </w:t>
      </w:r>
      <w:r w:rsidR="004F5D7A">
        <w:rPr>
          <w:rFonts w:ascii="Tahoma" w:hAnsi="Tahoma" w:cs="Tahoma"/>
          <w:lang/>
        </w:rPr>
        <w:t>у Порторожу 2021. Минисимпозијум МС32 „</w:t>
      </w:r>
      <w:r w:rsidR="004F5D7A">
        <w:rPr>
          <w:rFonts w:ascii="Tahoma" w:hAnsi="Tahoma" w:cs="Tahoma"/>
          <w:lang w:val="en-GB"/>
        </w:rPr>
        <w:t>Current topics in complex analysis”</w:t>
      </w:r>
    </w:p>
    <w:p w:rsidR="004A6483" w:rsidRDefault="00D153F8" w:rsidP="004A6483">
      <w:pPr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-</w:t>
      </w:r>
      <w:r w:rsidR="004F5D7A">
        <w:rPr>
          <w:rFonts w:ascii="Tahoma" w:hAnsi="Tahoma" w:cs="Tahoma"/>
          <w:lang/>
        </w:rPr>
        <w:t>Предавање по позиву на међународној конференцији „</w:t>
      </w:r>
      <w:r w:rsidR="004F5D7A">
        <w:rPr>
          <w:rFonts w:ascii="Tahoma" w:hAnsi="Tahoma" w:cs="Tahoma"/>
          <w:lang w:val="en-GB"/>
        </w:rPr>
        <w:t xml:space="preserve">Probabilistic methods in analysis” </w:t>
      </w:r>
      <w:r w:rsidR="004F5D7A">
        <w:rPr>
          <w:rFonts w:ascii="Tahoma" w:hAnsi="Tahoma" w:cs="Tahoma"/>
          <w:lang/>
        </w:rPr>
        <w:t>у Сочију 2021.</w:t>
      </w:r>
    </w:p>
    <w:p w:rsidR="00E45C44" w:rsidRDefault="00D153F8" w:rsidP="004A6483">
      <w:pPr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-</w:t>
      </w:r>
      <w:r w:rsidR="00E45C44">
        <w:rPr>
          <w:rFonts w:ascii="Tahoma" w:hAnsi="Tahoma" w:cs="Tahoma"/>
          <w:lang/>
        </w:rPr>
        <w:t>Предавање по позиву на међународној конференцији „</w:t>
      </w:r>
      <w:r w:rsidR="00E45C44">
        <w:rPr>
          <w:rFonts w:ascii="Tahoma" w:hAnsi="Tahoma" w:cs="Tahoma"/>
          <w:lang w:val="en-GB"/>
        </w:rPr>
        <w:t>Hermite Conference</w:t>
      </w:r>
      <w:r>
        <w:rPr>
          <w:rFonts w:ascii="Tahoma" w:hAnsi="Tahoma" w:cs="Tahoma"/>
          <w:lang w:val="en-GB"/>
        </w:rPr>
        <w:t xml:space="preserve">” </w:t>
      </w:r>
      <w:r>
        <w:rPr>
          <w:rFonts w:ascii="Tahoma" w:hAnsi="Tahoma" w:cs="Tahoma"/>
          <w:lang/>
        </w:rPr>
        <w:t>на Институту Анри Поенкаре у Паризу</w:t>
      </w:r>
      <w:r>
        <w:rPr>
          <w:rFonts w:ascii="Tahoma" w:hAnsi="Tahoma" w:cs="Tahoma"/>
          <w:lang w:val="en-GB"/>
        </w:rPr>
        <w:t xml:space="preserve"> 2022</w:t>
      </w:r>
      <w:r>
        <w:rPr>
          <w:rFonts w:ascii="Tahoma" w:hAnsi="Tahoma" w:cs="Tahoma"/>
          <w:lang/>
        </w:rPr>
        <w:t>.</w:t>
      </w:r>
      <w:r w:rsidR="00F64B42">
        <w:rPr>
          <w:rFonts w:ascii="Tahoma" w:hAnsi="Tahoma" w:cs="Tahoma"/>
          <w:lang/>
        </w:rPr>
        <w:t xml:space="preserve"> године.</w:t>
      </w:r>
    </w:p>
    <w:p w:rsidR="00D153F8" w:rsidRDefault="00D153F8" w:rsidP="004A6483">
      <w:pPr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 xml:space="preserve">-Предавање </w:t>
      </w:r>
      <w:r w:rsidR="00271710">
        <w:rPr>
          <w:rFonts w:ascii="Tahoma" w:hAnsi="Tahoma" w:cs="Tahoma"/>
          <w:lang/>
        </w:rPr>
        <w:t xml:space="preserve">по позиву </w:t>
      </w:r>
      <w:r>
        <w:rPr>
          <w:rFonts w:ascii="Tahoma" w:hAnsi="Tahoma" w:cs="Tahoma"/>
          <w:lang/>
        </w:rPr>
        <w:t>на међународном скупу „</w:t>
      </w:r>
      <w:r>
        <w:rPr>
          <w:rFonts w:ascii="Tahoma" w:hAnsi="Tahoma" w:cs="Tahoma"/>
          <w:lang w:val="en-GB"/>
        </w:rPr>
        <w:t>IWGFT2023</w:t>
      </w:r>
      <w:r>
        <w:rPr>
          <w:rFonts w:ascii="Tahoma" w:hAnsi="Tahoma" w:cs="Tahoma"/>
          <w:lang/>
        </w:rPr>
        <w:t>“</w:t>
      </w:r>
      <w:r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/>
        </w:rPr>
        <w:t>одржаном у Ченају у Индији 2023.</w:t>
      </w:r>
      <w:r w:rsidR="00F64B42">
        <w:rPr>
          <w:rFonts w:ascii="Tahoma" w:hAnsi="Tahoma" w:cs="Tahoma"/>
          <w:lang/>
        </w:rPr>
        <w:t xml:space="preserve"> године.</w:t>
      </w:r>
    </w:p>
    <w:p w:rsidR="00D153F8" w:rsidRDefault="00D153F8" w:rsidP="004A6483">
      <w:pPr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 xml:space="preserve">-Предавање </w:t>
      </w:r>
      <w:r w:rsidR="004B50C6">
        <w:rPr>
          <w:rFonts w:ascii="Tahoma" w:hAnsi="Tahoma" w:cs="Tahoma"/>
          <w:lang/>
        </w:rPr>
        <w:t xml:space="preserve">по позиву </w:t>
      </w:r>
      <w:r>
        <w:rPr>
          <w:rFonts w:ascii="Tahoma" w:hAnsi="Tahoma" w:cs="Tahoma"/>
          <w:lang/>
        </w:rPr>
        <w:t>на међународној конференцији „</w:t>
      </w:r>
      <w:r>
        <w:rPr>
          <w:rFonts w:ascii="Tahoma" w:hAnsi="Tahoma" w:cs="Tahoma"/>
          <w:lang w:val="en-GB"/>
        </w:rPr>
        <w:t>The ICFIDCAA-2023</w:t>
      </w:r>
      <w:r w:rsidR="00F64B42">
        <w:rPr>
          <w:rFonts w:ascii="Tahoma" w:hAnsi="Tahoma" w:cs="Tahoma"/>
          <w:lang/>
        </w:rPr>
        <w:t>“ одржаној у Пондичерију у Индији 2023. године.</w:t>
      </w:r>
    </w:p>
    <w:p w:rsidR="00F64B42" w:rsidRDefault="00F64B42" w:rsidP="004A6483">
      <w:pPr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lastRenderedPageBreak/>
        <w:t>-Учешће на Семинару за анализу на Филдсовом институту у Торонту 2023. године.</w:t>
      </w:r>
    </w:p>
    <w:p w:rsidR="00F64B42" w:rsidRPr="00F64B42" w:rsidRDefault="00F64B42" w:rsidP="004A6483">
      <w:pPr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-Учешће на Семинару за анализу Универзитета у Хелсинкију 2023. године.</w:t>
      </w:r>
    </w:p>
    <w:p w:rsidR="00D153F8" w:rsidRPr="00F64B42" w:rsidRDefault="00F64B42" w:rsidP="004A6483">
      <w:pPr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-Пленарно предавање на конференцији „</w:t>
      </w:r>
      <w:r>
        <w:rPr>
          <w:rFonts w:ascii="Tahoma" w:hAnsi="Tahoma" w:cs="Tahoma"/>
          <w:lang w:val="en-GB"/>
        </w:rPr>
        <w:t>ICCACFD 2024</w:t>
      </w:r>
      <w:r>
        <w:rPr>
          <w:rFonts w:ascii="Tahoma" w:hAnsi="Tahoma" w:cs="Tahoma"/>
          <w:lang/>
        </w:rPr>
        <w:t>“ одржаној у Бубанешвару у Индији 2024. године</w:t>
      </w:r>
    </w:p>
    <w:p w:rsidR="008F2D48" w:rsidRPr="00B8347F" w:rsidRDefault="004A6483" w:rsidP="001D076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8347F">
        <w:rPr>
          <w:rFonts w:ascii="Tahoma" w:hAnsi="Tahoma" w:cs="Tahoma"/>
        </w:rPr>
        <w:t>Остало:</w:t>
      </w:r>
    </w:p>
    <w:p w:rsidR="004A6483" w:rsidRPr="00D942CA" w:rsidRDefault="00D153F8" w:rsidP="004A6483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/>
        </w:rPr>
        <w:t>-</w:t>
      </w:r>
      <w:r w:rsidR="001756BF">
        <w:rPr>
          <w:rFonts w:ascii="Tahoma" w:hAnsi="Tahoma" w:cs="Tahoma"/>
          <w:lang/>
        </w:rPr>
        <w:t xml:space="preserve">Оцена Б категорије за </w:t>
      </w:r>
      <w:r w:rsidR="001756BF">
        <w:rPr>
          <w:rFonts w:ascii="Tahoma" w:hAnsi="Tahoma" w:cs="Tahoma"/>
          <w:lang w:val="en-GB"/>
        </w:rPr>
        <w:t>ERC Starting grant 2020.</w:t>
      </w:r>
      <w:r w:rsidR="001756BF">
        <w:rPr>
          <w:rFonts w:ascii="Tahoma" w:hAnsi="Tahoma" w:cs="Tahoma"/>
          <w:lang/>
        </w:rPr>
        <w:t xml:space="preserve"> </w:t>
      </w:r>
      <w:r w:rsidR="008D4A25">
        <w:rPr>
          <w:rFonts w:ascii="Tahoma" w:hAnsi="Tahoma" w:cs="Tahoma"/>
          <w:lang/>
        </w:rPr>
        <w:t>Г</w:t>
      </w:r>
      <w:r w:rsidR="001756BF">
        <w:rPr>
          <w:rFonts w:ascii="Tahoma" w:hAnsi="Tahoma" w:cs="Tahoma"/>
          <w:lang/>
        </w:rPr>
        <w:t>одине</w:t>
      </w:r>
      <w:r w:rsidR="00545914">
        <w:rPr>
          <w:rFonts w:ascii="Tahoma" w:hAnsi="Tahoma" w:cs="Tahoma"/>
          <w:lang/>
        </w:rPr>
        <w:t xml:space="preserve"> (</w:t>
      </w:r>
      <w:r w:rsidR="008D4A25">
        <w:rPr>
          <w:rFonts w:ascii="Tahoma" w:hAnsi="Tahoma" w:cs="Tahoma"/>
          <w:lang/>
        </w:rPr>
        <w:t xml:space="preserve">као </w:t>
      </w:r>
      <w:r w:rsidR="00D942CA">
        <w:rPr>
          <w:rFonts w:ascii="Tahoma" w:hAnsi="Tahoma" w:cs="Tahoma"/>
          <w:lang w:val="en-GB"/>
        </w:rPr>
        <w:t>P</w:t>
      </w:r>
      <w:r w:rsidR="00545914">
        <w:rPr>
          <w:rFonts w:ascii="Tahoma" w:hAnsi="Tahoma" w:cs="Tahoma"/>
          <w:lang w:val="en-GB"/>
        </w:rPr>
        <w:t xml:space="preserve">rincipal </w:t>
      </w:r>
      <w:r w:rsidR="00D942CA">
        <w:rPr>
          <w:rFonts w:ascii="Tahoma" w:hAnsi="Tahoma" w:cs="Tahoma"/>
          <w:lang w:val="en-GB"/>
        </w:rPr>
        <w:t>I</w:t>
      </w:r>
      <w:r w:rsidR="00545914">
        <w:rPr>
          <w:rFonts w:ascii="Tahoma" w:hAnsi="Tahoma" w:cs="Tahoma"/>
          <w:lang w:val="en-GB"/>
        </w:rPr>
        <w:t>nvestigator</w:t>
      </w:r>
      <w:r w:rsidR="00545914">
        <w:rPr>
          <w:rFonts w:ascii="Tahoma" w:hAnsi="Tahoma" w:cs="Tahoma"/>
          <w:lang/>
        </w:rPr>
        <w:t>)</w:t>
      </w:r>
      <w:r w:rsidR="00D942CA">
        <w:rPr>
          <w:rFonts w:ascii="Tahoma" w:hAnsi="Tahoma" w:cs="Tahoma"/>
          <w:lang w:val="en-GB"/>
        </w:rPr>
        <w:t>.</w:t>
      </w:r>
    </w:p>
    <w:p w:rsidR="00AA31AA" w:rsidRPr="00AA31AA" w:rsidRDefault="00AA31AA" w:rsidP="004A6483">
      <w:pPr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-</w:t>
      </w:r>
      <w:r w:rsidRPr="00AA31AA">
        <w:rPr>
          <w:rFonts w:ascii="Tahoma" w:hAnsi="Tahoma" w:cs="Tahoma"/>
        </w:rPr>
        <w:t xml:space="preserve"> </w:t>
      </w:r>
      <w:r w:rsidRPr="009B2C89">
        <w:rPr>
          <w:rFonts w:ascii="Tahoma" w:hAnsi="Tahoma" w:cs="Tahoma"/>
        </w:rPr>
        <w:t>Активно уче</w:t>
      </w:r>
      <w:r>
        <w:rPr>
          <w:rFonts w:ascii="Tahoma" w:hAnsi="Tahoma" w:cs="Tahoma"/>
          <w:lang/>
        </w:rPr>
        <w:t>шће</w:t>
      </w:r>
      <w:r w:rsidRPr="009B2C89">
        <w:rPr>
          <w:rFonts w:ascii="Tahoma" w:hAnsi="Tahoma" w:cs="Tahoma"/>
        </w:rPr>
        <w:t xml:space="preserve"> у манифестацији Мај месец</w:t>
      </w:r>
      <w:r>
        <w:rPr>
          <w:rFonts w:ascii="Tahoma" w:hAnsi="Tahoma" w:cs="Tahoma"/>
          <w:lang/>
        </w:rPr>
        <w:t xml:space="preserve"> математике у оквиру које је одржала 4</w:t>
      </w:r>
      <w:r w:rsidR="003F27F6">
        <w:rPr>
          <w:rFonts w:ascii="Tahoma" w:hAnsi="Tahoma" w:cs="Tahoma"/>
          <w:lang w:val="en-GB"/>
        </w:rPr>
        <w:t xml:space="preserve"> </w:t>
      </w:r>
      <w:r w:rsidR="00C343BD">
        <w:rPr>
          <w:rFonts w:ascii="Tahoma" w:hAnsi="Tahoma" w:cs="Tahoma"/>
          <w:lang/>
        </w:rPr>
        <w:t>популарна</w:t>
      </w:r>
      <w:r>
        <w:rPr>
          <w:rFonts w:ascii="Tahoma" w:hAnsi="Tahoma" w:cs="Tahoma"/>
          <w:lang/>
        </w:rPr>
        <w:t xml:space="preserve"> предавања од маја 2019. године</w:t>
      </w:r>
    </w:p>
    <w:p w:rsidR="00D153F8" w:rsidRPr="001756BF" w:rsidRDefault="00D153F8" w:rsidP="004A6483">
      <w:pPr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 xml:space="preserve">-Четири гостовања на РТС Образовно-научни програм </w:t>
      </w:r>
      <w:r w:rsidR="00F64B42">
        <w:rPr>
          <w:rFonts w:ascii="Tahoma" w:hAnsi="Tahoma" w:cs="Tahoma"/>
          <w:lang/>
        </w:rPr>
        <w:t>у 2022. години.</w:t>
      </w:r>
    </w:p>
    <w:p w:rsidR="00D153F8" w:rsidRDefault="00D153F8" w:rsidP="00D153F8">
      <w:pPr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-Позвани учесник генералне скупштине Европског друштва жена у математици у Хелсинкију 2022. године.</w:t>
      </w:r>
    </w:p>
    <w:p w:rsidR="00F64B42" w:rsidRDefault="00F64B42" w:rsidP="00D153F8">
      <w:pPr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-Учешће на панелу „Жене у науци-наука женама“ на Сајму технике са водећом темом Наука за све</w:t>
      </w:r>
      <w:r w:rsidR="006357CD">
        <w:rPr>
          <w:rFonts w:ascii="Tahoma" w:hAnsi="Tahoma" w:cs="Tahoma"/>
          <w:lang/>
        </w:rPr>
        <w:t>,</w:t>
      </w:r>
      <w:r>
        <w:rPr>
          <w:rFonts w:ascii="Tahoma" w:hAnsi="Tahoma" w:cs="Tahoma"/>
          <w:lang/>
        </w:rPr>
        <w:t xml:space="preserve"> одржаном 2023. године.</w:t>
      </w:r>
    </w:p>
    <w:p w:rsidR="00462550" w:rsidRPr="00462550" w:rsidRDefault="00462550" w:rsidP="004A6483">
      <w:pPr>
        <w:rPr>
          <w:rFonts w:ascii="Tahoma" w:hAnsi="Tahoma" w:cs="Tahoma"/>
          <w:lang/>
        </w:rPr>
      </w:pPr>
    </w:p>
    <w:p w:rsidR="004A6483" w:rsidRPr="00B8347F" w:rsidRDefault="004A6483" w:rsidP="004A6483">
      <w:pPr>
        <w:ind w:left="720"/>
        <w:rPr>
          <w:rFonts w:ascii="Tahoma" w:hAnsi="Tahoma" w:cs="Tahoma"/>
        </w:rPr>
      </w:pPr>
      <w:r w:rsidRPr="00B8347F">
        <w:rPr>
          <w:rFonts w:ascii="Tahoma" w:hAnsi="Tahoma" w:cs="Tahoma"/>
        </w:rPr>
        <w:t>У</w:t>
      </w:r>
      <w:r w:rsidR="00E0068B">
        <w:rPr>
          <w:rFonts w:ascii="Tahoma" w:hAnsi="Tahoma" w:cs="Tahoma"/>
        </w:rPr>
        <w:t xml:space="preserve"> Београду __</w:t>
      </w:r>
      <w:r w:rsidR="00641DE6">
        <w:rPr>
          <w:rFonts w:ascii="Tahoma" w:hAnsi="Tahoma" w:cs="Tahoma"/>
          <w:lang/>
        </w:rPr>
        <w:t>29.4.2024.</w:t>
      </w:r>
      <w:r w:rsidR="00E0068B">
        <w:rPr>
          <w:rFonts w:ascii="Tahoma" w:hAnsi="Tahoma" w:cs="Tahoma"/>
        </w:rPr>
        <w:t>_</w:t>
      </w:r>
      <w:r w:rsidRPr="00B8347F">
        <w:rPr>
          <w:rFonts w:ascii="Tahoma" w:hAnsi="Tahoma" w:cs="Tahoma"/>
        </w:rPr>
        <w:t>године</w:t>
      </w:r>
    </w:p>
    <w:p w:rsidR="004A6483" w:rsidRPr="00B8347F" w:rsidRDefault="004A6483" w:rsidP="004A6483">
      <w:pPr>
        <w:ind w:left="720"/>
        <w:rPr>
          <w:rFonts w:ascii="Tahoma" w:hAnsi="Tahoma" w:cs="Tahoma"/>
        </w:rPr>
      </w:pPr>
    </w:p>
    <w:p w:rsidR="004A6483" w:rsidRPr="00B8347F" w:rsidRDefault="004A6483" w:rsidP="004A6483">
      <w:pPr>
        <w:ind w:left="720"/>
        <w:rPr>
          <w:rFonts w:ascii="Tahoma" w:hAnsi="Tahoma" w:cs="Tahoma"/>
        </w:rPr>
      </w:pPr>
    </w:p>
    <w:p w:rsidR="00BB00AD" w:rsidRPr="00BB00AD" w:rsidRDefault="00BB00AD" w:rsidP="00BB00AD">
      <w:pPr>
        <w:ind w:left="720"/>
        <w:rPr>
          <w:rFonts w:ascii="Tahoma" w:hAnsi="Tahoma" w:cs="Tahoma"/>
          <w:lang w:val="en-GB"/>
        </w:rPr>
      </w:pPr>
      <w:r>
        <w:rPr>
          <w:rFonts w:ascii="Tahoma" w:hAnsi="Tahoma" w:cs="Tahoma"/>
          <w:lang/>
        </w:rPr>
        <w:t xml:space="preserve">                                                                                   </w:t>
      </w:r>
    </w:p>
    <w:p w:rsidR="004A6483" w:rsidRPr="00BB00AD" w:rsidRDefault="004A6483" w:rsidP="004A6483">
      <w:pPr>
        <w:ind w:left="720"/>
        <w:rPr>
          <w:rFonts w:ascii="Tahoma" w:hAnsi="Tahoma" w:cs="Tahoma"/>
          <w:lang/>
        </w:rPr>
      </w:pPr>
    </w:p>
    <w:p w:rsidR="001D44CD" w:rsidRDefault="001D44CD" w:rsidP="004A6483">
      <w:pPr>
        <w:spacing w:after="0"/>
        <w:ind w:left="720"/>
        <w:jc w:val="right"/>
        <w:rPr>
          <w:rFonts w:ascii="Tahoma" w:hAnsi="Tahoma" w:cs="Tahoma"/>
          <w:lang/>
        </w:rPr>
      </w:pPr>
    </w:p>
    <w:p w:rsidR="004A6483" w:rsidRPr="00B8347F" w:rsidRDefault="004A6483" w:rsidP="004A6483">
      <w:pPr>
        <w:spacing w:after="0"/>
        <w:ind w:left="720"/>
        <w:jc w:val="right"/>
        <w:rPr>
          <w:rFonts w:ascii="Tahoma" w:hAnsi="Tahoma" w:cs="Tahoma"/>
        </w:rPr>
      </w:pPr>
      <w:r w:rsidRPr="00B8347F">
        <w:rPr>
          <w:rFonts w:ascii="Tahoma" w:hAnsi="Tahoma" w:cs="Tahoma"/>
        </w:rPr>
        <w:t>______________________</w:t>
      </w:r>
    </w:p>
    <w:p w:rsidR="004A6483" w:rsidRPr="00641DE6" w:rsidRDefault="00E0068B" w:rsidP="00E0068B">
      <w:pPr>
        <w:spacing w:after="0"/>
        <w:ind w:left="720"/>
        <w:jc w:val="center"/>
        <w:rPr>
          <w:rFonts w:ascii="Tahoma" w:hAnsi="Tahoma" w:cs="Tahoma"/>
          <w:lang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41DE6">
        <w:rPr>
          <w:rFonts w:ascii="Tahoma" w:hAnsi="Tahoma" w:cs="Tahoma"/>
          <w:lang/>
        </w:rPr>
        <w:t xml:space="preserve">                     </w:t>
      </w:r>
      <w:r w:rsidR="004A6483" w:rsidRPr="00B8347F">
        <w:rPr>
          <w:rFonts w:ascii="Tahoma" w:hAnsi="Tahoma" w:cs="Tahoma"/>
        </w:rPr>
        <w:t xml:space="preserve">Проф. др </w:t>
      </w:r>
      <w:r w:rsidR="00641DE6">
        <w:rPr>
          <w:rFonts w:ascii="Tahoma" w:hAnsi="Tahoma" w:cs="Tahoma"/>
          <w:lang/>
        </w:rPr>
        <w:t>Весна Тодорчевић</w:t>
      </w:r>
    </w:p>
    <w:sectPr w:rsidR="004A6483" w:rsidRPr="00641DE6" w:rsidSect="000B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54D" w:rsidRDefault="0077654D" w:rsidP="000E1E10">
      <w:pPr>
        <w:spacing w:after="0" w:line="240" w:lineRule="auto"/>
      </w:pPr>
      <w:r>
        <w:separator/>
      </w:r>
    </w:p>
  </w:endnote>
  <w:endnote w:type="continuationSeparator" w:id="0">
    <w:p w:rsidR="0077654D" w:rsidRDefault="0077654D" w:rsidP="000E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 Norms Pro 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54D" w:rsidRDefault="0077654D" w:rsidP="000E1E10">
      <w:pPr>
        <w:spacing w:after="0" w:line="240" w:lineRule="auto"/>
      </w:pPr>
      <w:r>
        <w:separator/>
      </w:r>
    </w:p>
  </w:footnote>
  <w:footnote w:type="continuationSeparator" w:id="0">
    <w:p w:rsidR="0077654D" w:rsidRDefault="0077654D" w:rsidP="000E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77868"/>
    <w:multiLevelType w:val="multilevel"/>
    <w:tmpl w:val="AAB80A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71731A65"/>
    <w:multiLevelType w:val="multilevel"/>
    <w:tmpl w:val="AAB80A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755B01A1"/>
    <w:multiLevelType w:val="hybridMultilevel"/>
    <w:tmpl w:val="323A4034"/>
    <w:lvl w:ilvl="0" w:tplc="BE0C7BAE">
      <w:start w:val="1"/>
      <w:numFmt w:val="decimal"/>
      <w:lvlText w:val="%1."/>
      <w:lvlJc w:val="right"/>
      <w:pPr>
        <w:tabs>
          <w:tab w:val="num" w:pos="794"/>
        </w:tabs>
        <w:ind w:left="794" w:hanging="34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237A"/>
    <w:rsid w:val="000178A8"/>
    <w:rsid w:val="000645FF"/>
    <w:rsid w:val="000A2FF8"/>
    <w:rsid w:val="000B346E"/>
    <w:rsid w:val="000D3EA4"/>
    <w:rsid w:val="000E14C3"/>
    <w:rsid w:val="000E1E10"/>
    <w:rsid w:val="001272CE"/>
    <w:rsid w:val="001526F3"/>
    <w:rsid w:val="00166741"/>
    <w:rsid w:val="001756BF"/>
    <w:rsid w:val="00196AAE"/>
    <w:rsid w:val="001D0765"/>
    <w:rsid w:val="001D44CD"/>
    <w:rsid w:val="001E10A2"/>
    <w:rsid w:val="00202A2D"/>
    <w:rsid w:val="0026376E"/>
    <w:rsid w:val="00271710"/>
    <w:rsid w:val="00296EAC"/>
    <w:rsid w:val="002A5ED5"/>
    <w:rsid w:val="002D5CB8"/>
    <w:rsid w:val="00306F32"/>
    <w:rsid w:val="00322B68"/>
    <w:rsid w:val="003322F7"/>
    <w:rsid w:val="003470F7"/>
    <w:rsid w:val="00350177"/>
    <w:rsid w:val="00356365"/>
    <w:rsid w:val="003A0BAB"/>
    <w:rsid w:val="003A47B3"/>
    <w:rsid w:val="003F27F6"/>
    <w:rsid w:val="00462550"/>
    <w:rsid w:val="0046476D"/>
    <w:rsid w:val="00493E5F"/>
    <w:rsid w:val="00496C93"/>
    <w:rsid w:val="004A6483"/>
    <w:rsid w:val="004B50C6"/>
    <w:rsid w:val="004F5D7A"/>
    <w:rsid w:val="00503467"/>
    <w:rsid w:val="00545914"/>
    <w:rsid w:val="00554217"/>
    <w:rsid w:val="00593B5E"/>
    <w:rsid w:val="005E0DDB"/>
    <w:rsid w:val="00620A3D"/>
    <w:rsid w:val="00631AE0"/>
    <w:rsid w:val="006357CD"/>
    <w:rsid w:val="00641DE6"/>
    <w:rsid w:val="00667262"/>
    <w:rsid w:val="0068237A"/>
    <w:rsid w:val="006842C6"/>
    <w:rsid w:val="006B5E6F"/>
    <w:rsid w:val="006F0FE2"/>
    <w:rsid w:val="0070606F"/>
    <w:rsid w:val="00713216"/>
    <w:rsid w:val="00737884"/>
    <w:rsid w:val="0077654D"/>
    <w:rsid w:val="007B6E63"/>
    <w:rsid w:val="007D5049"/>
    <w:rsid w:val="00841033"/>
    <w:rsid w:val="00877708"/>
    <w:rsid w:val="008B2F04"/>
    <w:rsid w:val="008D4A25"/>
    <w:rsid w:val="008D5313"/>
    <w:rsid w:val="008E3503"/>
    <w:rsid w:val="008F2D48"/>
    <w:rsid w:val="00961189"/>
    <w:rsid w:val="0096150F"/>
    <w:rsid w:val="00963E07"/>
    <w:rsid w:val="00972596"/>
    <w:rsid w:val="009730DA"/>
    <w:rsid w:val="0099621C"/>
    <w:rsid w:val="009B2C89"/>
    <w:rsid w:val="009D218B"/>
    <w:rsid w:val="009E42FF"/>
    <w:rsid w:val="00A77D63"/>
    <w:rsid w:val="00AA31AA"/>
    <w:rsid w:val="00B07BF4"/>
    <w:rsid w:val="00B32392"/>
    <w:rsid w:val="00B42D96"/>
    <w:rsid w:val="00B528A6"/>
    <w:rsid w:val="00B6289A"/>
    <w:rsid w:val="00B8347F"/>
    <w:rsid w:val="00BA44A5"/>
    <w:rsid w:val="00BB00AD"/>
    <w:rsid w:val="00BC2FE2"/>
    <w:rsid w:val="00BC7661"/>
    <w:rsid w:val="00C004EA"/>
    <w:rsid w:val="00C313BF"/>
    <w:rsid w:val="00C343BD"/>
    <w:rsid w:val="00C67364"/>
    <w:rsid w:val="00C735D7"/>
    <w:rsid w:val="00C825F2"/>
    <w:rsid w:val="00C931E5"/>
    <w:rsid w:val="00CB3B61"/>
    <w:rsid w:val="00D153F8"/>
    <w:rsid w:val="00D312C7"/>
    <w:rsid w:val="00D44128"/>
    <w:rsid w:val="00D4580D"/>
    <w:rsid w:val="00D942CA"/>
    <w:rsid w:val="00DF4292"/>
    <w:rsid w:val="00E0068B"/>
    <w:rsid w:val="00E112C9"/>
    <w:rsid w:val="00E45C44"/>
    <w:rsid w:val="00E461D7"/>
    <w:rsid w:val="00E61D2F"/>
    <w:rsid w:val="00EB0E5D"/>
    <w:rsid w:val="00EE1BBF"/>
    <w:rsid w:val="00F14BEC"/>
    <w:rsid w:val="00F177C5"/>
    <w:rsid w:val="00F40D40"/>
    <w:rsid w:val="00F43752"/>
    <w:rsid w:val="00F448E5"/>
    <w:rsid w:val="00F64B42"/>
    <w:rsid w:val="00F6606B"/>
    <w:rsid w:val="00F736B9"/>
    <w:rsid w:val="00FB0C6D"/>
    <w:rsid w:val="00FF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E10"/>
  </w:style>
  <w:style w:type="paragraph" w:styleId="Footer">
    <w:name w:val="footer"/>
    <w:basedOn w:val="Normal"/>
    <w:link w:val="FooterChar"/>
    <w:uiPriority w:val="99"/>
    <w:unhideWhenUsed/>
    <w:rsid w:val="000E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E10"/>
  </w:style>
  <w:style w:type="paragraph" w:styleId="NormalWeb">
    <w:name w:val="Normal (Web)"/>
    <w:basedOn w:val="Normal"/>
    <w:uiPriority w:val="99"/>
    <w:semiHidden/>
    <w:unhideWhenUsed/>
    <w:rsid w:val="00BB00A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EC6AA-504A-4BFB-B349-2E18F418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2024-04-29T13:09:00Z</dcterms:created>
  <dcterms:modified xsi:type="dcterms:W3CDTF">2024-05-07T06:57:00Z</dcterms:modified>
</cp:coreProperties>
</file>