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0E" w:rsidRPr="00EE680E" w:rsidRDefault="00EE680E" w:rsidP="00EE680E">
      <w:pPr>
        <w:spacing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Универзитет у Београду</w:t>
      </w:r>
    </w:p>
    <w:p w:rsidR="00EE680E" w:rsidRPr="00EE680E" w:rsidRDefault="00EE680E" w:rsidP="00EE680E">
      <w:pPr>
        <w:spacing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Факултет организационих наука</w:t>
      </w:r>
    </w:p>
    <w:p w:rsidR="00EE680E" w:rsidRPr="00EE680E" w:rsidRDefault="00EE680E" w:rsidP="00EE680E">
      <w:pPr>
        <w:spacing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Комитет за развој и примену генеративне вештачке интелигенције у акадамеском окружењу</w:t>
      </w:r>
    </w:p>
    <w:p w:rsidR="00EE680E" w:rsidRPr="00EE680E" w:rsidRDefault="00EE680E" w:rsidP="00EE680E">
      <w:pPr>
        <w:spacing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Београд, јун, 2024.</w:t>
      </w:r>
    </w:p>
    <w:p w:rsidR="00D81EEF" w:rsidRPr="00EE680E" w:rsidRDefault="00D81EEF" w:rsidP="00EE680E">
      <w:pPr>
        <w:ind w:left="-360"/>
        <w:rPr>
          <w:rFonts w:ascii="Times New Roman" w:hAnsi="Times New Roman"/>
          <w:sz w:val="24"/>
          <w:szCs w:val="24"/>
          <w:lang/>
        </w:rPr>
      </w:pPr>
    </w:p>
    <w:p w:rsidR="00EE680E" w:rsidRPr="00EE680E" w:rsidRDefault="00EE680E" w:rsidP="00EE680E">
      <w:pPr>
        <w:ind w:left="-360"/>
        <w:rPr>
          <w:rFonts w:ascii="Times New Roman" w:hAnsi="Times New Roman"/>
          <w:sz w:val="24"/>
          <w:szCs w:val="24"/>
          <w:lang/>
        </w:rPr>
      </w:pPr>
    </w:p>
    <w:p w:rsidR="00EE680E" w:rsidRPr="00EE680E" w:rsidRDefault="00EE680E" w:rsidP="00EE680E">
      <w:pPr>
        <w:ind w:left="-360"/>
        <w:rPr>
          <w:rFonts w:ascii="Times New Roman" w:hAnsi="Times New Roman"/>
          <w:sz w:val="24"/>
          <w:szCs w:val="24"/>
          <w:lang/>
        </w:rPr>
      </w:pPr>
    </w:p>
    <w:p w:rsidR="00EE680E" w:rsidRPr="00EE680E" w:rsidRDefault="00EE680E" w:rsidP="00EE680E">
      <w:pPr>
        <w:spacing w:line="360" w:lineRule="auto"/>
        <w:ind w:left="-360"/>
        <w:rPr>
          <w:rFonts w:ascii="Times New Roman" w:hAnsi="Times New Roman"/>
          <w:color w:val="52525B"/>
          <w:sz w:val="24"/>
          <w:szCs w:val="24"/>
          <w:shd w:val="clear" w:color="auto" w:fill="FCFCFC"/>
        </w:rPr>
      </w:pPr>
      <w:r w:rsidRPr="00EE680E">
        <w:rPr>
          <w:rFonts w:ascii="Times New Roman" w:hAnsi="Times New Roman"/>
          <w:color w:val="52525B"/>
          <w:sz w:val="24"/>
          <w:szCs w:val="24"/>
          <w:shd w:val="clear" w:color="auto" w:fill="FCFCFC"/>
        </w:rPr>
        <w:t>Одлуком број 05-01 бр. 3/156 од 28.12.2023, а на основу члана 58. Статута Факултета организационих наука, формиран је Комитет за развој и примену генеративне вештачке интелигенције у акадамеском окружењу (Комитет) са задатком да изради документ о коришћењу генеративне вештачке интелигенције, који треба да обухвати етичке, правне и техничке аспекте коришћење алата вештачке интелигенције, као и смернице за њихову примену у настави, истраживању и административном раду.</w:t>
      </w:r>
    </w:p>
    <w:p w:rsidR="00EE680E" w:rsidRPr="00EE680E" w:rsidRDefault="00EE680E" w:rsidP="00EE680E">
      <w:pPr>
        <w:ind w:left="-360"/>
        <w:rPr>
          <w:rFonts w:ascii="Times New Roman" w:hAnsi="Times New Roman"/>
          <w:color w:val="52525B"/>
          <w:sz w:val="24"/>
          <w:szCs w:val="24"/>
          <w:shd w:val="clear" w:color="auto" w:fill="FCFCFC"/>
        </w:rPr>
      </w:pPr>
    </w:p>
    <w:p w:rsidR="00EE680E" w:rsidRPr="00EE680E" w:rsidRDefault="00EE680E" w:rsidP="00EE680E">
      <w:pPr>
        <w:ind w:left="-360"/>
        <w:rPr>
          <w:rFonts w:ascii="Times New Roman" w:hAnsi="Times New Roman"/>
          <w:color w:val="52525B"/>
          <w:sz w:val="24"/>
          <w:szCs w:val="24"/>
          <w:shd w:val="clear" w:color="auto" w:fill="FCFCFC"/>
        </w:rPr>
      </w:pPr>
    </w:p>
    <w:p w:rsidR="00EE680E" w:rsidRPr="00EE680E" w:rsidRDefault="00EE680E" w:rsidP="00EE680E">
      <w:pPr>
        <w:ind w:left="-360"/>
        <w:rPr>
          <w:rFonts w:ascii="Times New Roman" w:hAnsi="Times New Roman"/>
          <w:color w:val="52525B"/>
          <w:sz w:val="24"/>
          <w:szCs w:val="24"/>
          <w:shd w:val="clear" w:color="auto" w:fill="FCFCFC"/>
        </w:rPr>
      </w:pPr>
      <w:r w:rsidRPr="00EE680E">
        <w:rPr>
          <w:rFonts w:ascii="Times New Roman" w:hAnsi="Times New Roman"/>
          <w:color w:val="52525B"/>
          <w:sz w:val="24"/>
          <w:szCs w:val="24"/>
          <w:shd w:val="clear" w:color="auto" w:fill="FCFCFC"/>
        </w:rPr>
        <w:t>Чланови Комитета подносе Наставно-научном већу ФОН-а предлог </w:t>
      </w:r>
    </w:p>
    <w:p w:rsidR="00EE680E" w:rsidRPr="00EE680E" w:rsidRDefault="00EE680E" w:rsidP="00EE680E">
      <w:pPr>
        <w:ind w:left="-360"/>
        <w:rPr>
          <w:rFonts w:ascii="Times New Roman" w:hAnsi="Times New Roman"/>
          <w:color w:val="52525B"/>
          <w:sz w:val="24"/>
          <w:szCs w:val="24"/>
          <w:shd w:val="clear" w:color="auto" w:fill="FCFCFC"/>
        </w:rPr>
      </w:pPr>
    </w:p>
    <w:p w:rsidR="00EE680E" w:rsidRPr="00EE680E" w:rsidRDefault="00EE680E" w:rsidP="00EE680E">
      <w:pPr>
        <w:spacing w:line="450" w:lineRule="atLeast"/>
        <w:ind w:left="-360"/>
        <w:jc w:val="center"/>
        <w:rPr>
          <w:rFonts w:ascii="Times New Roman" w:eastAsia="Times New Roman" w:hAnsi="Times New Roman"/>
          <w:color w:val="52525B"/>
          <w:sz w:val="24"/>
          <w:szCs w:val="24"/>
          <w:lang/>
        </w:rPr>
      </w:pPr>
      <w:r w:rsidRPr="00EE680E">
        <w:rPr>
          <w:rFonts w:ascii="Times New Roman" w:eastAsia="Times New Roman" w:hAnsi="Times New Roman"/>
          <w:b/>
          <w:bCs/>
          <w:i/>
          <w:iCs/>
          <w:color w:val="52525B"/>
          <w:sz w:val="24"/>
          <w:szCs w:val="24"/>
          <w:lang/>
        </w:rPr>
        <w:t>Општ</w:t>
      </w:r>
      <w:r w:rsidRPr="00EE680E">
        <w:rPr>
          <w:rFonts w:ascii="Times New Roman" w:eastAsia="Times New Roman" w:hAnsi="Times New Roman"/>
          <w:b/>
          <w:bCs/>
          <w:i/>
          <w:iCs/>
          <w:color w:val="52525B"/>
          <w:sz w:val="24"/>
          <w:szCs w:val="24"/>
          <w:lang/>
        </w:rPr>
        <w:t>их </w:t>
      </w:r>
      <w:r w:rsidRPr="00EE680E">
        <w:rPr>
          <w:rFonts w:ascii="Times New Roman" w:eastAsia="Times New Roman" w:hAnsi="Times New Roman"/>
          <w:b/>
          <w:bCs/>
          <w:i/>
          <w:iCs/>
          <w:color w:val="52525B"/>
          <w:sz w:val="24"/>
          <w:szCs w:val="24"/>
          <w:lang/>
        </w:rPr>
        <w:t>смерниц</w:t>
      </w:r>
      <w:r w:rsidRPr="00EE680E">
        <w:rPr>
          <w:rFonts w:ascii="Times New Roman" w:eastAsia="Times New Roman" w:hAnsi="Times New Roman"/>
          <w:b/>
          <w:bCs/>
          <w:i/>
          <w:iCs/>
          <w:color w:val="52525B"/>
          <w:sz w:val="24"/>
          <w:szCs w:val="24"/>
          <w:lang/>
        </w:rPr>
        <w:t>a</w:t>
      </w:r>
    </w:p>
    <w:p w:rsidR="00EE680E" w:rsidRPr="00EE680E" w:rsidRDefault="00EE680E" w:rsidP="00EE680E">
      <w:pPr>
        <w:spacing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i/>
          <w:iCs/>
          <w:color w:val="52525B"/>
          <w:sz w:val="24"/>
          <w:szCs w:val="24"/>
          <w:lang/>
        </w:rPr>
        <w:t>за коришћење генеративне вештачке интелигенције</w:t>
      </w:r>
    </w:p>
    <w:p w:rsidR="00EE680E" w:rsidRPr="00EE680E" w:rsidRDefault="00EE680E" w:rsidP="00EE680E">
      <w:pPr>
        <w:spacing w:line="450" w:lineRule="atLeast"/>
        <w:ind w:left="-360"/>
        <w:jc w:val="center"/>
        <w:rPr>
          <w:rFonts w:ascii="Times New Roman" w:eastAsia="Times New Roman" w:hAnsi="Times New Roman"/>
          <w:b/>
          <w:bCs/>
          <w:i/>
          <w:iCs/>
          <w:color w:val="52525B"/>
          <w:sz w:val="24"/>
          <w:szCs w:val="24"/>
          <w:lang/>
        </w:rPr>
      </w:pPr>
      <w:r w:rsidRPr="00EE680E">
        <w:rPr>
          <w:rFonts w:ascii="Times New Roman" w:eastAsia="Times New Roman" w:hAnsi="Times New Roman"/>
          <w:b/>
          <w:bCs/>
          <w:i/>
          <w:iCs/>
          <w:color w:val="52525B"/>
          <w:sz w:val="24"/>
          <w:szCs w:val="24"/>
          <w:lang/>
        </w:rPr>
        <w:t>на Факултету организационих наука</w:t>
      </w:r>
    </w:p>
    <w:p w:rsidR="00EE680E" w:rsidRPr="00EE680E" w:rsidRDefault="00EE680E" w:rsidP="00EE680E">
      <w:pPr>
        <w:spacing w:line="450" w:lineRule="atLeast"/>
        <w:ind w:left="-360"/>
        <w:jc w:val="center"/>
        <w:rPr>
          <w:rFonts w:ascii="Times New Roman" w:eastAsia="Times New Roman" w:hAnsi="Times New Roman"/>
          <w:b/>
          <w:bCs/>
          <w:i/>
          <w:iCs/>
          <w:color w:val="52525B"/>
          <w:sz w:val="24"/>
          <w:szCs w:val="24"/>
          <w:lang/>
        </w:rPr>
      </w:pP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Уводне напомене</w:t>
      </w:r>
    </w:p>
    <w:p w:rsidR="00EE680E" w:rsidRPr="00EE680E" w:rsidRDefault="00EE680E" w:rsidP="00EE680E">
      <w:pPr>
        <w:spacing w:line="450" w:lineRule="atLeast"/>
        <w:ind w:left="-360" w:firstLine="90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br/>
      </w:r>
      <w:r w:rsidRPr="00EE680E">
        <w:rPr>
          <w:rFonts w:ascii="Times New Roman" w:eastAsia="Times New Roman" w:hAnsi="Times New Roman"/>
          <w:b/>
          <w:bCs/>
          <w:color w:val="52525B"/>
          <w:sz w:val="24"/>
          <w:szCs w:val="24"/>
          <w:lang/>
        </w:rPr>
        <w:t>Опште смернице за коришћење генеративне вештачке интелигенције (ГВИ) на </w:t>
      </w:r>
      <w:bookmarkStart w:id="0" w:name="_Hlk170038380"/>
      <w:r w:rsidRPr="00EE680E">
        <w:rPr>
          <w:rFonts w:ascii="Times New Roman" w:eastAsia="Times New Roman" w:hAnsi="Times New Roman"/>
          <w:b/>
          <w:bCs/>
          <w:sz w:val="24"/>
          <w:szCs w:val="24"/>
          <w:lang/>
        </w:rPr>
        <w:t>Факултету организационих наука</w:t>
      </w:r>
      <w:r w:rsidRPr="00EE680E">
        <w:rPr>
          <w:rFonts w:ascii="Times New Roman" w:eastAsia="Times New Roman" w:hAnsi="Times New Roman"/>
          <w:b/>
          <w:bCs/>
          <w:color w:val="DC2626"/>
          <w:sz w:val="24"/>
          <w:szCs w:val="24"/>
          <w:lang/>
        </w:rPr>
        <w:t> </w:t>
      </w:r>
      <w:bookmarkEnd w:id="0"/>
      <w:r w:rsidRPr="00EE680E">
        <w:rPr>
          <w:rFonts w:ascii="Times New Roman" w:eastAsia="Times New Roman" w:hAnsi="Times New Roman"/>
          <w:b/>
          <w:bCs/>
          <w:color w:val="52525B"/>
          <w:sz w:val="24"/>
          <w:szCs w:val="24"/>
          <w:lang/>
        </w:rPr>
        <w:t>(Смернице)</w:t>
      </w:r>
      <w:r w:rsidRPr="00EE680E">
        <w:rPr>
          <w:rFonts w:ascii="Times New Roman" w:eastAsia="Times New Roman" w:hAnsi="Times New Roman"/>
          <w:color w:val="52525B"/>
          <w:sz w:val="24"/>
          <w:szCs w:val="24"/>
          <w:lang/>
        </w:rPr>
        <w:t> су развијене ради пружања оквира за одговорно коришћење ГВИ технологија код студената, наставног и </w:t>
      </w:r>
      <w:r w:rsidRPr="00EE680E">
        <w:rPr>
          <w:rFonts w:ascii="Times New Roman" w:eastAsia="Times New Roman" w:hAnsi="Times New Roman"/>
          <w:color w:val="52525B"/>
          <w:sz w:val="24"/>
          <w:szCs w:val="24"/>
          <w:lang/>
        </w:rPr>
        <w:t>ненаставног </w:t>
      </w:r>
      <w:r w:rsidRPr="00EE680E">
        <w:rPr>
          <w:rFonts w:ascii="Times New Roman" w:eastAsia="Times New Roman" w:hAnsi="Times New Roman"/>
          <w:color w:val="52525B"/>
          <w:sz w:val="24"/>
          <w:szCs w:val="24"/>
          <w:lang/>
        </w:rPr>
        <w:t>особља. Смернице имају за циљ да се унапреде академски интегритет, транспарентност и етичко понашање у </w:t>
      </w:r>
      <w:r w:rsidRPr="00EE680E">
        <w:rPr>
          <w:rFonts w:ascii="Times New Roman" w:eastAsia="Times New Roman" w:hAnsi="Times New Roman"/>
          <w:color w:val="52525B"/>
          <w:sz w:val="24"/>
          <w:szCs w:val="24"/>
          <w:lang/>
        </w:rPr>
        <w:t>истраживању, наставним пословима, стручним пословима и администрацији.</w:t>
      </w:r>
    </w:p>
    <w:p w:rsidR="00EE680E" w:rsidRPr="00EE680E" w:rsidRDefault="00EE680E" w:rsidP="00EE680E">
      <w:pPr>
        <w:spacing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Кључ успешне имплементације</w:t>
      </w:r>
      <w:r w:rsidRPr="00EE680E">
        <w:rPr>
          <w:rFonts w:ascii="Times New Roman" w:eastAsia="Times New Roman" w:hAnsi="Times New Roman"/>
          <w:color w:val="52525B"/>
          <w:sz w:val="24"/>
          <w:szCs w:val="24"/>
          <w:lang/>
        </w:rPr>
        <w:t> смерница лежи у континуираном образовању, отвореној комуникацији и сарадњи. Смернице дефинишу оквир за етичко коришћење ГВИ,</w:t>
      </w:r>
      <w:r w:rsidRPr="00EE680E">
        <w:rPr>
          <w:rFonts w:ascii="Times New Roman" w:eastAsia="Times New Roman" w:hAnsi="Times New Roman"/>
          <w:color w:val="52525B"/>
          <w:sz w:val="24"/>
          <w:szCs w:val="24"/>
          <w:lang/>
        </w:rPr>
        <w:t xml:space="preserve"> као и </w:t>
      </w:r>
      <w:r w:rsidRPr="00EE680E">
        <w:rPr>
          <w:rFonts w:ascii="Times New Roman" w:eastAsia="Times New Roman" w:hAnsi="Times New Roman"/>
          <w:color w:val="52525B"/>
          <w:sz w:val="24"/>
          <w:szCs w:val="24"/>
          <w:lang/>
        </w:rPr>
        <w:lastRenderedPageBreak/>
        <w:t>коришћење засновано на правним нормама</w:t>
      </w:r>
      <w:r w:rsidRPr="00EE680E">
        <w:rPr>
          <w:rFonts w:ascii="Times New Roman" w:eastAsia="Times New Roman" w:hAnsi="Times New Roman"/>
          <w:color w:val="52525B"/>
          <w:sz w:val="24"/>
          <w:szCs w:val="24"/>
          <w:lang/>
        </w:rPr>
        <w:t> имајући у виду одговорност према свим учесницима у академском и ширем друштвеном окружењу.</w:t>
      </w:r>
    </w:p>
    <w:p w:rsidR="00EE680E" w:rsidRPr="00EE680E" w:rsidRDefault="00EE680E" w:rsidP="00EE680E">
      <w:pPr>
        <w:spacing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На овај начин, Факултет организационих наука (ФОН) се залаже</w:t>
      </w:r>
      <w:r w:rsidRPr="00EE680E">
        <w:rPr>
          <w:rFonts w:ascii="Times New Roman" w:eastAsia="Times New Roman" w:hAnsi="Times New Roman"/>
          <w:color w:val="52525B"/>
          <w:sz w:val="24"/>
          <w:szCs w:val="24"/>
          <w:lang/>
        </w:rPr>
        <w:t> да се технолошке иновације користе у складу са високим етичким стандардима и принципима, доприносећи тако побољшању образовног процес и истраживачког рада уз поштовање академског интегритета.</w:t>
      </w:r>
    </w:p>
    <w:p w:rsidR="00EE680E" w:rsidRPr="00EE680E" w:rsidRDefault="00EE680E" w:rsidP="00EE680E">
      <w:pPr>
        <w:spacing w:line="450" w:lineRule="atLeast"/>
        <w:ind w:left="-360"/>
        <w:jc w:val="left"/>
        <w:rPr>
          <w:rFonts w:ascii="Times New Roman" w:eastAsia="Times New Roman" w:hAnsi="Times New Roman"/>
          <w:color w:val="52525B"/>
          <w:sz w:val="24"/>
          <w:szCs w:val="24"/>
        </w:rPr>
      </w:pPr>
    </w:p>
    <w:p w:rsidR="00EE680E" w:rsidRPr="00EE680E" w:rsidRDefault="00EE680E" w:rsidP="00EE680E">
      <w:pPr>
        <w:spacing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Опште одредбе:</w:t>
      </w:r>
    </w:p>
    <w:p w:rsidR="00EE680E" w:rsidRPr="00EE680E" w:rsidRDefault="00EE680E" w:rsidP="00EE680E">
      <w:pPr>
        <w:spacing w:line="450" w:lineRule="atLeast"/>
        <w:ind w:left="-360"/>
        <w:jc w:val="left"/>
        <w:rPr>
          <w:rFonts w:ascii="Times New Roman" w:eastAsia="Times New Roman" w:hAnsi="Times New Roman"/>
          <w:color w:val="52525B"/>
          <w:sz w:val="24"/>
          <w:szCs w:val="24"/>
        </w:rPr>
      </w:pPr>
    </w:p>
    <w:p w:rsidR="00EE680E" w:rsidRPr="00EE680E" w:rsidRDefault="00EE680E" w:rsidP="00EE680E">
      <w:pPr>
        <w:spacing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1.</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Регулаторни оквир</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Основ</w:t>
      </w:r>
      <w:r w:rsidRPr="00EE680E">
        <w:rPr>
          <w:rFonts w:ascii="Times New Roman" w:eastAsia="Times New Roman" w:hAnsi="Times New Roman"/>
          <w:color w:val="52525B"/>
          <w:sz w:val="24"/>
          <w:szCs w:val="24"/>
          <w:lang/>
        </w:rPr>
        <w:t> за доношење "Смернице за коришћење генеративне вештачке интелигенције на Универзитету у Београду - Факултету организационих наука" утемељен је на правним, стратешким и етичким оквирима (регулаторни оквир):</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Правни оквир:</w:t>
      </w:r>
      <w:r w:rsidRPr="00EE680E">
        <w:rPr>
          <w:rFonts w:ascii="Times New Roman" w:eastAsia="Times New Roman" w:hAnsi="Times New Roman"/>
          <w:color w:val="52525B"/>
          <w:sz w:val="24"/>
          <w:szCs w:val="24"/>
          <w:lang/>
        </w:rPr>
        <w:t> У Србији, као земљи која тежи чланству у Европској унији, постоји снажан напор да се законодавство усклади са ЕУ законима, посебно у областима које обухватају дигитализацију, информационе технологије, заштиту података о личности и вештачку интелигенцију. У развоју и примени LLM модела, као и будућих технолошких решења заснованих на вештачкој интелигенцији, имаћемо у виду ЕУ правни оквир и настојаћемо да га се придржавамо у мери у којој је то могуће и сврсисходно, узимајући у обзир специфичности опен соурце модела и даља дешавања у домену регулативе</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Овај процес усклађивања укључује прилагођавање националних закона, као и развој нових подзаконских аката који подржавају примену тих закона.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Прави оквир који је узет у обзир приликом израде Смерница се састоји од:</w:t>
      </w:r>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Закона о високом образовању („Сл. гласник РС“ бр. 88/17, 73/18, 27/18, 67/19, 6/20, 11/21, 67/21, 67/21 и 76/23);</w:t>
      </w:r>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Закона о науци и истраживањима(„Сл. гласник РС“ бр. 49/19)</w:t>
      </w:r>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Закона о ауторском и сродним правима („Сл. гласник РС“ бр. 104/09, 99/11, 119/12, 29/16 и 66/19)</w:t>
      </w:r>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о   Закона о заштити података о личности („Сл. гласник РС“ бр. 87/18)</w:t>
      </w:r>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и други релевантни закони.</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b/>
          <w:color w:val="52525B"/>
          <w:sz w:val="24"/>
          <w:szCs w:val="24"/>
        </w:rPr>
      </w:pPr>
      <w:r w:rsidRPr="00EE680E">
        <w:rPr>
          <w:rFonts w:ascii="Times New Roman" w:eastAsia="Times New Roman" w:hAnsi="Times New Roman"/>
          <w:b/>
          <w:i/>
          <w:iCs/>
          <w:color w:val="52525B"/>
          <w:sz w:val="24"/>
          <w:szCs w:val="24"/>
          <w:lang/>
        </w:rPr>
        <w:t>Стратешки оквир</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Стратешки оквир за развој Смерница се ослања на неколико кључних стратегија и иницијатива које је Влада Републике Србије усвојила. Ове стратегије пружају смернице и циљеве за ширу примену информационих технологија, дигитализацију, иновације и развој вештачке интелигенције. Три стратегије које су релевантне за имплементацију Смерница су: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Стратегија развоја информационог Стратегија развоја информационог друштва и информационе безбедности у Републици Србији за период од 2021. до 2026. године</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Стратегија развоја вештачке интелигенције за период 2020–2025</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Национална платформа за вештачку интелигенцију </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 </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Етички оквир</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Етички кодекси и стандарди који се примењују на академско особље и студенте Универзитета у Београду представљају етички оквир за смернице о одговорном коришћењу ГВИ, укључујући поштовање академског интегритета и транспарентности (Табела 1).</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Националне етичке смернице</w:t>
      </w:r>
    </w:p>
    <w:p w:rsidR="00EE680E" w:rsidRPr="00EE680E" w:rsidRDefault="00EE680E" w:rsidP="00EE680E">
      <w:pPr>
        <w:spacing w:before="100" w:beforeAutospacing="1" w:after="100" w:afterAutospacing="1" w:line="450" w:lineRule="atLeast"/>
        <w:ind w:left="180"/>
        <w:rPr>
          <w:rFonts w:ascii="Times New Roman" w:eastAsia="Times New Roman" w:hAnsi="Times New Roman"/>
          <w:sz w:val="24"/>
          <w:szCs w:val="24"/>
        </w:rPr>
      </w:pPr>
      <w:r w:rsidRPr="00EE680E">
        <w:rPr>
          <w:rFonts w:ascii="Times New Roman" w:eastAsia="Times New Roman" w:hAnsi="Times New Roman"/>
          <w:sz w:val="24"/>
          <w:szCs w:val="24"/>
          <w:lang/>
        </w:rPr>
        <w:t>о   </w:t>
      </w:r>
      <w:hyperlink r:id="rId7" w:history="1">
        <w:r w:rsidRPr="00EE680E">
          <w:rPr>
            <w:rFonts w:ascii="Times New Roman" w:eastAsia="Times New Roman" w:hAnsi="Times New Roman"/>
            <w:sz w:val="24"/>
            <w:szCs w:val="24"/>
            <w:lang/>
          </w:rPr>
          <w:t>Етичке смернице за развој, примену и употребу поуздане и одговорне вештачке интелигенције</w:t>
        </w:r>
      </w:hyperlink>
    </w:p>
    <w:p w:rsidR="00EE680E" w:rsidRPr="00EE680E" w:rsidRDefault="00EE680E" w:rsidP="00EE680E">
      <w:pPr>
        <w:spacing w:before="100" w:beforeAutospacing="1" w:after="100" w:afterAutospacing="1" w:line="450" w:lineRule="atLeast"/>
        <w:ind w:left="180"/>
        <w:rPr>
          <w:rFonts w:ascii="Times New Roman" w:eastAsia="Times New Roman" w:hAnsi="Times New Roman"/>
          <w:sz w:val="24"/>
          <w:szCs w:val="24"/>
        </w:rPr>
      </w:pPr>
      <w:r w:rsidRPr="00EE680E">
        <w:rPr>
          <w:rFonts w:ascii="Times New Roman" w:eastAsia="Times New Roman" w:hAnsi="Times New Roman"/>
          <w:sz w:val="24"/>
          <w:szCs w:val="24"/>
          <w:lang/>
        </w:rPr>
        <w:t>о   </w:t>
      </w:r>
      <w:hyperlink r:id="rId8" w:history="1">
        <w:r w:rsidRPr="00EE680E">
          <w:rPr>
            <w:rFonts w:ascii="Times New Roman" w:eastAsia="Times New Roman" w:hAnsi="Times New Roman"/>
            <w:sz w:val="24"/>
            <w:szCs w:val="24"/>
            <w:lang/>
          </w:rPr>
          <w:t>Упитник за проверу испуњености услова из Етичких смерница</w:t>
        </w:r>
      </w:hyperlink>
    </w:p>
    <w:p w:rsidR="00EE680E" w:rsidRPr="00EE680E" w:rsidRDefault="00EE680E" w:rsidP="00EE680E">
      <w:pPr>
        <w:spacing w:before="100" w:beforeAutospacing="1" w:after="100" w:afterAutospacing="1" w:line="450" w:lineRule="atLeast"/>
        <w:ind w:left="180"/>
        <w:jc w:val="left"/>
        <w:rPr>
          <w:rFonts w:ascii="Times New Roman" w:eastAsia="Times New Roman" w:hAnsi="Times New Roman"/>
          <w:sz w:val="24"/>
          <w:szCs w:val="24"/>
        </w:rPr>
      </w:pPr>
      <w:r w:rsidRPr="00EE680E">
        <w:rPr>
          <w:rFonts w:ascii="Times New Roman" w:eastAsia="Times New Roman" w:hAnsi="Times New Roman"/>
          <w:sz w:val="24"/>
          <w:szCs w:val="24"/>
          <w:lang/>
        </w:rPr>
        <w:t> </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lastRenderedPageBreak/>
        <w:t>Општи акти и етички кодекси Универзитета и ФОН-а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Статут и општи акти </w:t>
      </w:r>
      <w:r w:rsidRPr="00EE680E">
        <w:rPr>
          <w:rFonts w:ascii="Times New Roman" w:eastAsia="Times New Roman" w:hAnsi="Times New Roman"/>
          <w:color w:val="52525B"/>
          <w:sz w:val="24"/>
          <w:szCs w:val="24"/>
          <w:lang/>
        </w:rPr>
        <w:t>Универзитета у Београду, омогућавају доношење специфичних политика и смерница за употребу дигиталних технологија и ресурса. Статут Универзитета у Београду је основни правни акт Универзитета који дефинише организацију, надлежности и функционисање универзитета. У Статуту се налазе одредбе о академском интегритету, правима и обавезама студената, поступцима у случају кршења правила и осталим документима садржаним у Табели 1.</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Статут ФОН-а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Правилници и процедуре који детаљно описују поступке, обавезе и права студената и наставника</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Глобални ресурси за етику ВИ:</w:t>
      </w:r>
      <w:r w:rsidRPr="00EE680E">
        <w:rPr>
          <w:rFonts w:ascii="Times New Roman" w:eastAsia="Times New Roman" w:hAnsi="Times New Roman"/>
          <w:color w:val="52525B"/>
          <w:sz w:val="24"/>
          <w:szCs w:val="24"/>
          <w:lang/>
        </w:rPr>
        <w:t> Међународна тела и организације као што су ЕУ, УНЕСЦО и ОЕЦД развила су оквире за етички развој АИ. Ови оквири се баве питањима као што су поштење, одговорност и транспарентност.</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Етичке смернице за вештачку интелигенцију од поверења (ЕУ) (</w:t>
      </w:r>
      <w:hyperlink r:id="rId9" w:history="1">
        <w:r w:rsidRPr="00EE680E">
          <w:rPr>
            <w:rFonts w:ascii="Times New Roman" w:eastAsia="Times New Roman" w:hAnsi="Times New Roman"/>
            <w:color w:val="DC2626"/>
            <w:sz w:val="24"/>
            <w:szCs w:val="24"/>
            <w:lang/>
          </w:rPr>
          <w:t>https://op.europa.eu/en/publication-detail/-/publication/d3988569-0434-11ea-8c1f-01aa75ed71a1</w:t>
        </w:r>
      </w:hyperlink>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Смернице за особље о коришћењу онлајн доступних генеративних модела вештачке интелигенције (ЕУ)  (</w:t>
      </w:r>
      <w:hyperlink r:id="rId10" w:history="1">
        <w:r w:rsidRPr="00EE680E">
          <w:rPr>
            <w:rFonts w:ascii="Times New Roman" w:eastAsia="Times New Roman" w:hAnsi="Times New Roman"/>
            <w:color w:val="DC2626"/>
            <w:sz w:val="24"/>
            <w:szCs w:val="24"/>
            <w:lang/>
          </w:rPr>
          <w:t>https://www.politico.eu/wp-content/uploads/2023/06/01/COM-AI-GUIDELINES.pdf</w:t>
        </w:r>
      </w:hyperlink>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Живе смернице за  одговорну употребу генеративенвештачке интелигенције у истраживању (ЕУ)  (</w:t>
      </w:r>
      <w:hyperlink r:id="rId11" w:history="1">
        <w:r w:rsidRPr="00EE680E">
          <w:rPr>
            <w:rFonts w:ascii="Times New Roman" w:eastAsia="Times New Roman" w:hAnsi="Times New Roman"/>
            <w:color w:val="DC2626"/>
            <w:sz w:val="24"/>
            <w:szCs w:val="24"/>
            <w:lang/>
          </w:rPr>
          <w:t>https://research-and-innovation.ec.europa.eu/document/2b6cf7e5-36ac-41cb-aab5-0d32050143dc_en</w:t>
        </w:r>
      </w:hyperlink>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Препорука УНЕСЦО о етици вештачке интелигенције (</w:t>
      </w:r>
      <w:hyperlink r:id="rId12" w:tgtFrame="_blank" w:history="1">
        <w:r w:rsidRPr="00EE680E">
          <w:rPr>
            <w:rFonts w:ascii="Times New Roman" w:eastAsia="Times New Roman" w:hAnsi="Times New Roman"/>
            <w:color w:val="DC2626"/>
            <w:sz w:val="24"/>
            <w:szCs w:val="24"/>
            <w:lang/>
          </w:rPr>
          <w:t>https://unesdoc.unesco.org/ark:/48223/pf0000380455</w:t>
        </w:r>
      </w:hyperlink>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ОЕЦД принципи АИ (</w:t>
      </w:r>
      <w:hyperlink r:id="rId13" w:tgtFrame="_blank" w:history="1">
        <w:r w:rsidRPr="00EE680E">
          <w:rPr>
            <w:rFonts w:ascii="Times New Roman" w:eastAsia="Times New Roman" w:hAnsi="Times New Roman"/>
            <w:color w:val="DC2626"/>
            <w:sz w:val="24"/>
            <w:szCs w:val="24"/>
            <w:lang/>
          </w:rPr>
          <w:t>https://oecd.ai/en/ai-principles</w:t>
        </w:r>
      </w:hyperlink>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Комбиновањем постојећих прописа Универзитета у Београду са ширим етичким оквирима, развијене су  Смернице које промовишу одговорно коришћење ГВИ алата на ФОН-у.</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У регулаторном смислу, Општа смерница се у највећој мери ослања на документа релевантна за академски интегритет и етичке смернице на Универзитету у Београду, националне смернице за вештачку интелигенцију и опште акте  ФОН-а (Табела 1).</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Табела 1. Листа документа релевантних за академски интегритет и етичке смернице на високошколским установама у Србији</w:t>
      </w:r>
    </w:p>
    <w:tbl>
      <w:tblPr>
        <w:tblW w:w="10299" w:type="dxa"/>
        <w:tblCellSpacing w:w="15" w:type="dxa"/>
        <w:tblInd w:w="-4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190"/>
        <w:gridCol w:w="2109"/>
      </w:tblGrid>
      <w:tr w:rsidR="00EE680E" w:rsidRPr="00EE680E" w:rsidTr="00EE680E">
        <w:trPr>
          <w:tblHeade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Документ</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Година</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Основе за Кодекс о академском интегритету на високошколским установама у Републици Србији</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2016</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Кодекс професионалне етике Универзитета у Београду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2016, 2021</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Кодекс понашања у научноистраживачком раду Универзитета у Београду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2016</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Правилник о поступку утврђивања неакадемског понашања у изради писаних радова</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2024</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Правилник о поступку провере оригиналности докторских дисертација које се бране на Универзитету у Београду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Још увек предлог</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Правилник о полагању испита и оцењивању на испиту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2007, 2012, 2014</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Етичке смернице за развој, примену и употребу поуздане и одговорне вештачке интелигенције. Национална платформа за вештачку интелигенцију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2024</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Кодекс понашања у научноистраживачком раду</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2018</w:t>
            </w:r>
          </w:p>
        </w:tc>
      </w:tr>
      <w:tr w:rsidR="00EE680E" w:rsidRPr="00EE680E" w:rsidTr="00EE680E">
        <w:trPr>
          <w:tblCellSpacing w:w="15" w:type="dxa"/>
        </w:trPr>
        <w:tc>
          <w:tcPr>
            <w:tcW w:w="8145"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295"/>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Правилници ФОН-а</w:t>
            </w:r>
          </w:p>
        </w:tc>
        <w:tc>
          <w:tcPr>
            <w:tcW w:w="2064" w:type="dxa"/>
            <w:tcBorders>
              <w:top w:val="single" w:sz="8" w:space="0" w:color="E3E3E3"/>
              <w:left w:val="single" w:sz="8" w:space="0" w:color="E3E3E3"/>
              <w:bottom w:val="single" w:sz="8" w:space="0" w:color="E3E3E3"/>
              <w:right w:val="single" w:sz="8" w:space="0" w:color="E3E3E3"/>
            </w:tcBorders>
            <w:tcMar>
              <w:top w:w="15" w:type="dxa"/>
              <w:left w:w="15" w:type="dxa"/>
              <w:bottom w:w="15" w:type="dxa"/>
              <w:right w:w="15" w:type="dxa"/>
            </w:tcMar>
            <w:vAlign w:val="bottom"/>
            <w:hideMark/>
          </w:tcPr>
          <w:p w:rsidR="00EE680E" w:rsidRPr="00EE680E" w:rsidRDefault="00EE680E" w:rsidP="00EE680E">
            <w:pPr>
              <w:spacing w:before="100" w:beforeAutospacing="1" w:after="100" w:afterAutospacing="1" w:line="450" w:lineRule="atLeast"/>
              <w:ind w:left="13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w:t>
            </w:r>
          </w:p>
        </w:tc>
      </w:tr>
    </w:tbl>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p>
    <w:p w:rsid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lang/>
        </w:rPr>
      </w:pPr>
      <w:r w:rsidRPr="00EE680E">
        <w:rPr>
          <w:rFonts w:ascii="Times New Roman" w:eastAsia="Times New Roman" w:hAnsi="Times New Roman"/>
          <w:color w:val="52525B"/>
          <w:sz w:val="24"/>
          <w:szCs w:val="24"/>
          <w:lang/>
        </w:rPr>
        <w:t> </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lang/>
        </w:rPr>
      </w:pP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lastRenderedPageBreak/>
        <w:t>2.</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Основне дефиниције</w:t>
      </w:r>
    </w:p>
    <w:p w:rsidR="00EE680E" w:rsidRPr="00EE680E" w:rsidRDefault="00EE680E" w:rsidP="00EE680E">
      <w:pPr>
        <w:numPr>
          <w:ilvl w:val="0"/>
          <w:numId w:val="7"/>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Генеративна вештачка интелигенција</w:t>
      </w:r>
      <w:r w:rsidRPr="00EE680E">
        <w:rPr>
          <w:rFonts w:ascii="Times New Roman" w:eastAsia="Times New Roman" w:hAnsi="Times New Roman"/>
          <w:color w:val="52525B"/>
          <w:sz w:val="24"/>
          <w:szCs w:val="24"/>
          <w:lang/>
        </w:rPr>
        <w:t> (ГВИ) је технологија вештачке интелигенције (ВИ) која аутоматски генерише садржај на основу упита (промптова) написаних у облику разговора на природном језику (Holmes&amp; Миао, 2023).</w:t>
      </w:r>
    </w:p>
    <w:p w:rsidR="00EE680E" w:rsidRPr="00EE680E" w:rsidRDefault="00EE680E" w:rsidP="00EE680E">
      <w:pPr>
        <w:numPr>
          <w:ilvl w:val="0"/>
          <w:numId w:val="7"/>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Кодекс професионалне етике Универзитета у Београду </w:t>
      </w:r>
      <w:r w:rsidRPr="00EE680E">
        <w:rPr>
          <w:rFonts w:ascii="Times New Roman" w:eastAsia="Times New Roman" w:hAnsi="Times New Roman"/>
          <w:color w:val="52525B"/>
          <w:sz w:val="24"/>
          <w:szCs w:val="24"/>
          <w:lang/>
        </w:rPr>
        <w:t>(Кодекс) донет је у циљу очувања достојанства професије, унапређивања моралних вредности, заштите вредности знања и подизања свести о одговорности свих чланова универзитетске заједнице на Универзитету у Београду (Универзитет). Кодекс се примењује у професионалном и јавном деловању свих чланова универзитетске заједнице: наставног и научног особља, студената, </w:t>
      </w:r>
      <w:r w:rsidRPr="00EE680E">
        <w:rPr>
          <w:rFonts w:ascii="Times New Roman" w:eastAsia="Times New Roman" w:hAnsi="Times New Roman"/>
          <w:color w:val="52525B"/>
          <w:sz w:val="24"/>
          <w:szCs w:val="24"/>
          <w:lang/>
        </w:rPr>
        <w:t>ненаставног </w:t>
      </w:r>
      <w:r w:rsidRPr="00EE680E">
        <w:rPr>
          <w:rFonts w:ascii="Times New Roman" w:eastAsia="Times New Roman" w:hAnsi="Times New Roman"/>
          <w:color w:val="52525B"/>
          <w:sz w:val="24"/>
          <w:szCs w:val="24"/>
          <w:lang/>
        </w:rPr>
        <w:t>особља, као и лица која нису чланови академске заједнице Универзитета а учествују у раду Универзитета (Кодекс професионалне етике Универзитета у Београду, 2016).</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Академски интегритет </w:t>
      </w:r>
      <w:r w:rsidRPr="00EE680E">
        <w:rPr>
          <w:rFonts w:ascii="Times New Roman" w:eastAsia="Times New Roman" w:hAnsi="Times New Roman"/>
          <w:color w:val="52525B"/>
          <w:sz w:val="24"/>
          <w:szCs w:val="24"/>
          <w:lang/>
        </w:rPr>
        <w:t>дефинисан Законом о високом образовању представља један од принципа високог образовања. Према овом закону, на академском интегритету заснивају се: очување достојанства професије, унапређивање моралних вредности, заштита вредности знања и подизање свести о одговорности свих чланова академске заједнице и унапређење људских права и слобода (Закон о високом образовању, 2017 до 2023). Основе за Кодекс о академском интегритету на високошколским установама у Републици Србији, (24. октобар 2016), донео је Национални савет за високо образовање Републике Србије.</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Кодекс понашања у научноистраживачком раду</w:t>
      </w:r>
      <w:r w:rsidRPr="00EE680E">
        <w:rPr>
          <w:rFonts w:ascii="Times New Roman" w:eastAsia="Times New Roman" w:hAnsi="Times New Roman"/>
          <w:color w:val="52525B"/>
          <w:sz w:val="24"/>
          <w:szCs w:val="24"/>
          <w:lang/>
        </w:rPr>
        <w:t> (2018) дефинише „најтеже облике превара у науци као: плагирање, лажно ауторство, измишљање и кривотворење резултата и аутоплагирање, што</w:t>
      </w:r>
      <w:bookmarkStart w:id="1" w:name="clan_11"/>
      <w:bookmarkEnd w:id="1"/>
      <w:r w:rsidRPr="00EE680E">
        <w:rPr>
          <w:rFonts w:ascii="Times New Roman" w:eastAsia="Times New Roman" w:hAnsi="Times New Roman"/>
          <w:color w:val="52525B"/>
          <w:sz w:val="24"/>
          <w:szCs w:val="24"/>
          <w:lang/>
        </w:rPr>
        <w:t> се односи на сва објављена научна дела (докторска дисертација, рад у часопису, монографија, поглавља у монографијама и зборницима и сл.) и академске радове (додали аутори Смерница)</w:t>
      </w:r>
      <w:bookmarkStart w:id="2" w:name="str_12"/>
      <w:bookmarkEnd w:id="2"/>
      <w:r w:rsidRPr="00EE680E">
        <w:rPr>
          <w:rFonts w:ascii="Times New Roman" w:eastAsia="Times New Roman" w:hAnsi="Times New Roman"/>
          <w:color w:val="52525B"/>
          <w:sz w:val="24"/>
          <w:szCs w:val="24"/>
          <w:lang/>
        </w:rPr>
        <w:t> (Кодекс понашања у научноистраживачком раду, 2018):</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Плагирање</w:t>
      </w:r>
      <w:r w:rsidRPr="00EE680E">
        <w:rPr>
          <w:rFonts w:ascii="Times New Roman" w:eastAsia="Times New Roman" w:hAnsi="Times New Roman"/>
          <w:color w:val="52525B"/>
          <w:sz w:val="24"/>
          <w:szCs w:val="24"/>
          <w:lang/>
        </w:rPr>
        <w:t xml:space="preserve"> је представљање туђих идеја или туђег рада, у целини или деловима, без навођења изворног ауторства или изворника, односно противзаконито </w:t>
      </w:r>
      <w:r w:rsidRPr="00EE680E">
        <w:rPr>
          <w:rFonts w:ascii="Times New Roman" w:eastAsia="Times New Roman" w:hAnsi="Times New Roman"/>
          <w:color w:val="52525B"/>
          <w:sz w:val="24"/>
          <w:szCs w:val="24"/>
          <w:lang/>
        </w:rPr>
        <w:lastRenderedPageBreak/>
        <w:t>присвајање туђих интелектуалних творевина и научних резултата и њихово приказивање као својих, као и:</w:t>
      </w:r>
    </w:p>
    <w:p w:rsidR="00EE680E" w:rsidRPr="00EE680E" w:rsidRDefault="00EE680E" w:rsidP="00EE680E">
      <w:pPr>
        <w:spacing w:before="100" w:beforeAutospacing="1" w:after="100" w:afterAutospacing="1" w:line="450" w:lineRule="atLeast"/>
        <w:ind w:left="10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дословно преузимање текста другог аутора, односно копирање из електронских или штампаних извора, са српског или страног језика, у деловима или целости, без навођења имена аутора и извора из којег је текст преузет, као и без јасног обележавања преузетог дела;</w:t>
      </w:r>
    </w:p>
    <w:p w:rsidR="00EE680E" w:rsidRPr="00EE680E" w:rsidRDefault="00EE680E" w:rsidP="00EE680E">
      <w:pPr>
        <w:spacing w:before="100" w:beforeAutospacing="1" w:after="100" w:afterAutospacing="1" w:line="450" w:lineRule="atLeast"/>
        <w:ind w:left="10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препричавање или сажимање текста другог аутора из електронских или штампаних извора, са српског или страног језика, у деловима или целости, без одговарајућег навођења имена аутора и извора из којег је текст преузет, као и без јасног обележавања препричаног дела;</w:t>
      </w:r>
    </w:p>
    <w:p w:rsidR="00EE680E" w:rsidRPr="00EE680E" w:rsidRDefault="00EE680E" w:rsidP="00EE680E">
      <w:pPr>
        <w:spacing w:before="100" w:beforeAutospacing="1" w:after="100" w:afterAutospacing="1" w:line="450" w:lineRule="atLeast"/>
        <w:ind w:left="10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представљање идеја других аутора као својих, без одговарајућег навођења имена аутора, односно извора из кога је текст преузет.</w:t>
      </w:r>
      <w:bookmarkStart w:id="3" w:name="str_13"/>
      <w:bookmarkEnd w:id="3"/>
    </w:p>
    <w:p w:rsidR="00EE680E" w:rsidRPr="00EE680E" w:rsidRDefault="00EE680E" w:rsidP="00EE680E">
      <w:pPr>
        <w:spacing w:before="100" w:beforeAutospacing="1" w:after="100" w:afterAutospacing="1" w:line="450" w:lineRule="atLeast"/>
        <w:ind w:left="54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Лажно ауторство</w:t>
      </w:r>
      <w:r w:rsidRPr="00EE680E">
        <w:rPr>
          <w:rFonts w:ascii="Times New Roman" w:eastAsia="Times New Roman" w:hAnsi="Times New Roman"/>
          <w:color w:val="52525B"/>
          <w:sz w:val="24"/>
          <w:szCs w:val="24"/>
          <w:lang/>
        </w:rPr>
        <w:t> је навођење као аутора лица које није учествовало у изради научног дела.</w:t>
      </w:r>
      <w:bookmarkStart w:id="4" w:name="str_14"/>
      <w:bookmarkEnd w:id="4"/>
    </w:p>
    <w:p w:rsidR="00EE680E" w:rsidRPr="00EE680E" w:rsidRDefault="00EE680E" w:rsidP="00EE680E">
      <w:pPr>
        <w:spacing w:before="100" w:beforeAutospacing="1" w:after="100" w:afterAutospacing="1" w:line="450" w:lineRule="atLeast"/>
        <w:ind w:left="54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Измишљање и кривотворење резултата</w:t>
      </w:r>
      <w:r w:rsidRPr="00EE680E">
        <w:rPr>
          <w:rFonts w:ascii="Times New Roman" w:eastAsia="Times New Roman" w:hAnsi="Times New Roman"/>
          <w:color w:val="52525B"/>
          <w:sz w:val="24"/>
          <w:szCs w:val="24"/>
          <w:lang/>
        </w:rPr>
        <w:t> је деловање којим се манипулише предметом, опремом или процесом истраживања, са циљем да резултати научног истраживања буду намерно подешени или тенденциозно протумачени</w:t>
      </w:r>
      <w:bookmarkStart w:id="5" w:name="str_15"/>
      <w:bookmarkEnd w:id="5"/>
    </w:p>
    <w:p w:rsidR="00EE680E" w:rsidRPr="00EE680E" w:rsidRDefault="00EE680E" w:rsidP="00EE680E">
      <w:pPr>
        <w:spacing w:before="100" w:beforeAutospacing="1" w:after="100" w:afterAutospacing="1" w:line="450" w:lineRule="atLeast"/>
        <w:ind w:left="54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b/>
          <w:bCs/>
          <w:color w:val="52525B"/>
          <w:sz w:val="24"/>
          <w:szCs w:val="24"/>
          <w:lang/>
        </w:rPr>
        <w:t>Аутоплагирање</w:t>
      </w:r>
      <w:r w:rsidRPr="00EE680E">
        <w:rPr>
          <w:rFonts w:ascii="Times New Roman" w:eastAsia="Times New Roman" w:hAnsi="Times New Roman"/>
          <w:color w:val="52525B"/>
          <w:sz w:val="24"/>
          <w:szCs w:val="24"/>
          <w:lang/>
        </w:rPr>
        <w:t> је поновно објављивање свог раније објављеног научног дела или за другу сврху искоришћеног дела као новог и оригиналног”. (Кодекс понашања у научноистраживачком раду, 2018).</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Парафразирање</w:t>
      </w:r>
      <w:r w:rsidRPr="00EE680E">
        <w:rPr>
          <w:rFonts w:ascii="Times New Roman" w:eastAsia="Times New Roman" w:hAnsi="Times New Roman"/>
          <w:color w:val="52525B"/>
          <w:sz w:val="24"/>
          <w:szCs w:val="24"/>
          <w:lang/>
        </w:rPr>
        <w:t> се у светлу овог кодекса сматра као плагијат у случају да се примењује као „препричавање или сажимање текста другог аутора из електронских или штампаних извора, са српског или страног језика, у деловима или целости, без одговарајућег навођења имена аутора и извора из којег је текст преузет, као и без јасног обележавања препричаног дела” (Кодекс понашања у научноистраживачком раду, 2018).</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Академски радови</w:t>
      </w:r>
      <w:r w:rsidRPr="00EE680E">
        <w:rPr>
          <w:rFonts w:ascii="Times New Roman" w:eastAsia="Times New Roman" w:hAnsi="Times New Roman"/>
          <w:color w:val="52525B"/>
          <w:sz w:val="24"/>
          <w:szCs w:val="24"/>
          <w:lang/>
        </w:rPr>
        <w:t>: есеји, семинарски радови, завршни радови на свим нивоима студија, стручни и научни радови.</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        </w:t>
      </w:r>
      <w:r w:rsidRPr="00EE680E">
        <w:rPr>
          <w:rFonts w:ascii="Times New Roman" w:eastAsia="Times New Roman" w:hAnsi="Times New Roman"/>
          <w:b/>
          <w:bCs/>
          <w:color w:val="52525B"/>
          <w:sz w:val="24"/>
          <w:szCs w:val="24"/>
          <w:lang/>
        </w:rPr>
        <w:t>Образовне активности</w:t>
      </w:r>
      <w:r w:rsidRPr="00EE680E">
        <w:rPr>
          <w:rFonts w:ascii="Times New Roman" w:eastAsia="Times New Roman" w:hAnsi="Times New Roman"/>
          <w:color w:val="52525B"/>
          <w:sz w:val="24"/>
          <w:szCs w:val="24"/>
          <w:lang/>
        </w:rPr>
        <w:t> су ближе одређене Законом о високом образовању (2017 до 2023)</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Научно-истраживачке активности</w:t>
      </w:r>
      <w:r w:rsidRPr="00EE680E">
        <w:rPr>
          <w:rFonts w:ascii="Times New Roman" w:eastAsia="Times New Roman" w:hAnsi="Times New Roman"/>
          <w:color w:val="52525B"/>
          <w:sz w:val="24"/>
          <w:szCs w:val="24"/>
          <w:lang/>
        </w:rPr>
        <w:t> су ближе одређене Законом о науци и истраживањима (2019).</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Административне активности</w:t>
      </w:r>
      <w:r w:rsidRPr="00EE680E">
        <w:rPr>
          <w:rFonts w:ascii="Times New Roman" w:eastAsia="Times New Roman" w:hAnsi="Times New Roman"/>
          <w:color w:val="52525B"/>
          <w:sz w:val="24"/>
          <w:szCs w:val="24"/>
          <w:lang/>
        </w:rPr>
        <w:t> студената, наставног i vannastavnog особља обухватају све оне задатке и процедура које су неопходне за правилно функционисање ФОН-а, али које не спадају директно у домен образовних или научно-истраживачких активности.</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Промт</w:t>
      </w:r>
      <w:r w:rsidRPr="00EE680E">
        <w:rPr>
          <w:rFonts w:ascii="Times New Roman" w:eastAsia="Times New Roman" w:hAnsi="Times New Roman"/>
          <w:color w:val="52525B"/>
          <w:sz w:val="24"/>
          <w:szCs w:val="24"/>
          <w:lang/>
        </w:rPr>
        <w:t>: Упит (питање) који корисник шаље ГВИ у очекивању одговора на природном језику</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3.     </w:t>
      </w:r>
      <w:r w:rsidRPr="00EE680E">
        <w:rPr>
          <w:rFonts w:ascii="Times New Roman" w:eastAsia="Times New Roman" w:hAnsi="Times New Roman"/>
          <w:b/>
          <w:bCs/>
          <w:color w:val="52525B"/>
          <w:sz w:val="24"/>
          <w:szCs w:val="24"/>
          <w:lang/>
        </w:rPr>
        <w:t>Дозвољена употреба ГВИ</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Факултет организационих наука снажно се залаже да своје студенте и запослене уведе у свет дозвољене и одговорне употребе ГВИ, уз строго поштовање етичких принципа.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Дефинисање дозвољене употребе ГВИ на факултету захтева темељно разматрање етичких, образовних, технолошких и правних аспеката. Дозвољена употреба ГВИ има за циљ да успостави равнотежу између технолошког напретка иновација у образовном процесу са очувањем академског интегритета и заштитом права појединаца. Таквим приступом, ФОН ће максимално искористити потенцијал ГВИ за унапређење процеса образовања и истраживања, уз очување темељних вредности и принципа академске заједнице.</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Делокруг употребе ГВИ: </w:t>
      </w:r>
      <w:r w:rsidRPr="00EE680E">
        <w:rPr>
          <w:rFonts w:ascii="Times New Roman" w:eastAsia="Times New Roman" w:hAnsi="Times New Roman"/>
          <w:color w:val="52525B"/>
          <w:sz w:val="24"/>
          <w:szCs w:val="24"/>
          <w:lang/>
        </w:rPr>
        <w:t>Алати ГВИ се могу користити у научно-истраживачком раду, наставним и стручним пословима, као и у административним пословима</w:t>
      </w:r>
      <w:r w:rsidRPr="00EE680E">
        <w:rPr>
          <w:rFonts w:ascii="Times New Roman" w:eastAsia="Times New Roman" w:hAnsi="Times New Roman"/>
          <w:color w:val="52525B"/>
          <w:sz w:val="24"/>
          <w:szCs w:val="24"/>
          <w:lang/>
        </w:rPr>
        <w:t>.</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Корисници алата ГВИ (корисници): </w:t>
      </w:r>
      <w:r w:rsidRPr="00EE680E">
        <w:rPr>
          <w:rFonts w:ascii="Times New Roman" w:eastAsia="Times New Roman" w:hAnsi="Times New Roman"/>
          <w:b/>
          <w:bCs/>
          <w:color w:val="52525B"/>
          <w:sz w:val="24"/>
          <w:szCs w:val="24"/>
          <w:lang/>
        </w:rPr>
        <w:t>студенти, наставно и ненаставно особље ФОН-а.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Дозвољено коришћење ГВИ</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Да би користили ГВИ у образовним, научно-истраживачким и административним активностима, кључно је доследно поштовање </w:t>
      </w:r>
      <w:r w:rsidRPr="00EE680E">
        <w:rPr>
          <w:rFonts w:ascii="Times New Roman" w:eastAsia="Times New Roman" w:hAnsi="Times New Roman"/>
          <w:b/>
          <w:bCs/>
          <w:color w:val="52525B"/>
          <w:sz w:val="24"/>
          <w:szCs w:val="24"/>
          <w:lang/>
        </w:rPr>
        <w:t>општих принципа дозвољеног коршићења ГВИ</w:t>
      </w:r>
      <w:r w:rsidRPr="00EE680E">
        <w:rPr>
          <w:rFonts w:ascii="Times New Roman" w:eastAsia="Times New Roman" w:hAnsi="Times New Roman"/>
          <w:color w:val="52525B"/>
          <w:sz w:val="24"/>
          <w:szCs w:val="24"/>
          <w:lang/>
        </w:rPr>
        <w:t>, који укључују:</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         </w:t>
      </w:r>
      <w:r w:rsidRPr="00EE680E">
        <w:rPr>
          <w:rFonts w:ascii="Times New Roman" w:eastAsia="Times New Roman" w:hAnsi="Times New Roman"/>
          <w:b/>
          <w:bCs/>
          <w:color w:val="52525B"/>
          <w:sz w:val="24"/>
          <w:szCs w:val="24"/>
          <w:lang/>
        </w:rPr>
        <w:t>ГВИ се посматра као алат односно трећа страна</w:t>
      </w:r>
      <w:r w:rsidRPr="00EE680E">
        <w:rPr>
          <w:rFonts w:ascii="Times New Roman" w:eastAsia="Times New Roman" w:hAnsi="Times New Roman"/>
          <w:color w:val="52525B"/>
          <w:sz w:val="24"/>
          <w:szCs w:val="24"/>
          <w:lang/>
        </w:rPr>
        <w:t>. Иако није реч о човеку, свака помоћ у образовном и научно-истраживачком процесу која долази од ГВИ мора бити експлицитно наведена. Када су у питању административни задаци, овај захтев може бити ублажен, под условом да њихово извршавање не доводи до проблема везаних за етичност и академски интегритет.</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p>
    <w:p w:rsidR="00EE680E" w:rsidRPr="00EE680E" w:rsidRDefault="00EE680E" w:rsidP="00EE680E">
      <w:pPr>
        <w:numPr>
          <w:ilvl w:val="0"/>
          <w:numId w:val="13"/>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Транспарентност </w:t>
      </w:r>
      <w:r w:rsidRPr="00EE680E">
        <w:rPr>
          <w:rFonts w:ascii="Times New Roman" w:eastAsia="Times New Roman" w:hAnsi="Times New Roman"/>
          <w:color w:val="52525B"/>
          <w:sz w:val="24"/>
          <w:szCs w:val="24"/>
          <w:lang/>
        </w:rPr>
        <w:t>у коришћењу ГВИ је од суштинског значаја за интегритет наставно-научног процеса и истраживања, а истовремено је важна за градњу поверења јавности у технологију. Имплементација следећих корака би могла повећати транспарентност и веродостојност коришћења ГВИ:</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Објашњење методологије</w:t>
      </w:r>
      <w:r w:rsidRPr="00EE680E">
        <w:rPr>
          <w:rFonts w:ascii="Times New Roman" w:eastAsia="Times New Roman" w:hAnsi="Times New Roman"/>
          <w:color w:val="52525B"/>
          <w:sz w:val="24"/>
          <w:szCs w:val="24"/>
          <w:lang/>
        </w:rPr>
        <w:t>: Требало би јасно навести како и зашто је ГВИ коришћен у истраживачком процесу, укључујући детаље о томе како су модели тренирани, који су подаци коришћени, и како су резултати интерпретирани. Ово може помоћи у разумевању потенцијалних ограничења и предности примене ГВИ.</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Указивање потенцијала за пристрасност</w:t>
      </w:r>
      <w:r w:rsidRPr="00EE680E">
        <w:rPr>
          <w:rFonts w:ascii="Times New Roman" w:eastAsia="Times New Roman" w:hAnsi="Times New Roman"/>
          <w:color w:val="52525B"/>
          <w:sz w:val="24"/>
          <w:szCs w:val="24"/>
          <w:lang/>
        </w:rPr>
        <w:t>: алати ГВИ производе одговоре на основу улазних захтева и података упућених од стране људи (промптова), које могу садржати друштвене пристрасности и стереотипе, које заузврат могу бити реплициране у одговору алата ГВИ.</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Декларација извора података</w:t>
      </w:r>
      <w:r w:rsidRPr="00EE680E">
        <w:rPr>
          <w:rFonts w:ascii="Times New Roman" w:eastAsia="Times New Roman" w:hAnsi="Times New Roman"/>
          <w:color w:val="52525B"/>
          <w:sz w:val="24"/>
          <w:szCs w:val="24"/>
          <w:lang/>
        </w:rPr>
        <w:t>: Јасно навођење извора података који су коришћени за тренирање модела ГВИ може помоћи у идентификацији потенцијалних пристрасности и нетачности. Такође, то може омогућити другим истраживачима да оцене квалитет и релевантност коришћених података.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Декларација о квалитету добијених резултата</w:t>
      </w:r>
      <w:r w:rsidRPr="00EE680E">
        <w:rPr>
          <w:rFonts w:ascii="Times New Roman" w:eastAsia="Times New Roman" w:hAnsi="Times New Roman"/>
          <w:color w:val="52525B"/>
          <w:sz w:val="24"/>
          <w:szCs w:val="24"/>
          <w:lang/>
        </w:rPr>
        <w:t>: подаци и информације садржани унутар алата ГВИ добијају се из широког спектра извора, укључујући оне који су слабо референцирани или нетачни. Слично, нејасни налози или информације могу бити погрешно тумачени од стране алата ГВИ и произвести нетачне, небитне или застареле информације. То значи да одговорност за тачност информација генерисаних овим алатима, када се преносе у други контекст, лежи на кориснику.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о    </w:t>
      </w:r>
      <w:r w:rsidRPr="00EE680E">
        <w:rPr>
          <w:rFonts w:ascii="Times New Roman" w:eastAsia="Times New Roman" w:hAnsi="Times New Roman"/>
          <w:i/>
          <w:iCs/>
          <w:color w:val="52525B"/>
          <w:sz w:val="24"/>
          <w:szCs w:val="24"/>
          <w:lang/>
        </w:rPr>
        <w:t>Правила о коришћењу</w:t>
      </w:r>
      <w:r w:rsidRPr="00EE680E">
        <w:rPr>
          <w:rFonts w:ascii="Times New Roman" w:eastAsia="Times New Roman" w:hAnsi="Times New Roman"/>
          <w:color w:val="52525B"/>
          <w:sz w:val="24"/>
          <w:szCs w:val="24"/>
          <w:lang/>
        </w:rPr>
        <w:t>: Објављивање смерница или правила о коришћењу резултата генерисаних помоћу ГВИ може помоћи у смањењу злоупотребе и нетачном тумачењу. Такође, то може помоћи корисницима да разумеју како најбоље да користе и интерпретирају информације генерисане од стране АИ.</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Ревизија и валидација</w:t>
      </w:r>
      <w:r w:rsidRPr="00EE680E">
        <w:rPr>
          <w:rFonts w:ascii="Times New Roman" w:eastAsia="Times New Roman" w:hAnsi="Times New Roman"/>
          <w:color w:val="52525B"/>
          <w:sz w:val="24"/>
          <w:szCs w:val="24"/>
          <w:lang/>
        </w:rPr>
        <w:t>: Подстицање ревизије и валидације резултата добијених помоћу ГВИ модела може допринети побољшању прецизности и поузданости. Ревизија од стране стручњака такође може помоћи у идентификовању пристрасности и нетачности у излазима вештачке интелигенције.</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Транспарентност и одговорност у развоју: Коначно, организације које развијају ГВИ алате требало би да буду транспарентне у вези са својим методама развоја, укључујући детаље о тимовима који стоје иза развоја, њиховим етичким смерницама, и како се баве проблемима пристрасности и тачности.</w:t>
      </w:r>
    </w:p>
    <w:p w:rsidR="00EE680E" w:rsidRPr="00EE680E" w:rsidRDefault="00EE680E" w:rsidP="00EE680E">
      <w:pPr>
        <w:numPr>
          <w:ilvl w:val="0"/>
          <w:numId w:val="8"/>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Академски интегритет:</w:t>
      </w:r>
      <w:r w:rsidRPr="00EE680E">
        <w:rPr>
          <w:rFonts w:ascii="Times New Roman" w:eastAsia="Times New Roman" w:hAnsi="Times New Roman"/>
          <w:color w:val="52525B"/>
          <w:sz w:val="24"/>
          <w:szCs w:val="24"/>
          <w:lang/>
        </w:rPr>
        <w:t> Коришћење ГВИ је дозвољено искључиво уз поштовање базичних принципа академског интегритета дефинисаних у складу са Основама за Кодекс о академском интегритету на високошколским установама у Републици Србији (2016) и Кодексом понашања у научноистраживачком раду (2018).</w:t>
      </w:r>
    </w:p>
    <w:p w:rsidR="00EE680E" w:rsidRPr="00EE680E" w:rsidRDefault="00EE680E" w:rsidP="00EE680E">
      <w:pPr>
        <w:numPr>
          <w:ilvl w:val="0"/>
          <w:numId w:val="8"/>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Поштовање ауторских права и интелектуалне својине:</w:t>
      </w:r>
      <w:r w:rsidRPr="00EE680E">
        <w:rPr>
          <w:rFonts w:ascii="Times New Roman" w:eastAsia="Times New Roman" w:hAnsi="Times New Roman"/>
          <w:color w:val="52525B"/>
          <w:sz w:val="24"/>
          <w:szCs w:val="24"/>
          <w:lang/>
        </w:rPr>
        <w:t> Употреба ГВИ се врши уз поштовање ауторских права, у складу са Законом о ауторском и сродним правима (2009 до 2019).</w:t>
      </w:r>
    </w:p>
    <w:p w:rsidR="00EE680E" w:rsidRPr="00EE680E" w:rsidRDefault="00EE680E" w:rsidP="00EE680E">
      <w:pPr>
        <w:numPr>
          <w:ilvl w:val="0"/>
          <w:numId w:val="8"/>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Поштовање приватности и заштите података о личности: </w:t>
      </w:r>
      <w:r w:rsidRPr="00EE680E">
        <w:rPr>
          <w:rFonts w:ascii="Times New Roman" w:eastAsia="Times New Roman" w:hAnsi="Times New Roman"/>
          <w:color w:val="52525B"/>
          <w:sz w:val="24"/>
          <w:szCs w:val="24"/>
          <w:lang/>
        </w:rPr>
        <w:t>Приликом коришћења ГВИ мора се водити рачуна о правима грађана утврђеним Законом о заштити података о личности (2018).</w:t>
      </w:r>
    </w:p>
    <w:p w:rsidR="00EE680E" w:rsidRPr="00EE680E" w:rsidRDefault="00EE680E" w:rsidP="00EE680E">
      <w:pPr>
        <w:numPr>
          <w:ilvl w:val="0"/>
          <w:numId w:val="8"/>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Поштовање етичких принципа: </w:t>
      </w:r>
      <w:r w:rsidRPr="00EE680E">
        <w:rPr>
          <w:rFonts w:ascii="Times New Roman" w:eastAsia="Times New Roman" w:hAnsi="Times New Roman"/>
          <w:color w:val="52525B"/>
          <w:sz w:val="24"/>
          <w:szCs w:val="24"/>
          <w:lang/>
        </w:rPr>
        <w:t>Употреба</w:t>
      </w:r>
      <w:r w:rsidRPr="00EE680E">
        <w:rPr>
          <w:rFonts w:ascii="Times New Roman" w:eastAsia="Times New Roman" w:hAnsi="Times New Roman"/>
          <w:b/>
          <w:bCs/>
          <w:color w:val="52525B"/>
          <w:sz w:val="24"/>
          <w:szCs w:val="24"/>
          <w:lang/>
        </w:rPr>
        <w:t> </w:t>
      </w:r>
      <w:r w:rsidRPr="00EE680E">
        <w:rPr>
          <w:rFonts w:ascii="Times New Roman" w:eastAsia="Times New Roman" w:hAnsi="Times New Roman"/>
          <w:color w:val="52525B"/>
          <w:sz w:val="24"/>
          <w:szCs w:val="24"/>
          <w:lang/>
        </w:rPr>
        <w:t>ГВИ се врши</w:t>
      </w:r>
      <w:r w:rsidRPr="00EE680E">
        <w:rPr>
          <w:rFonts w:ascii="Times New Roman" w:eastAsia="Times New Roman" w:hAnsi="Times New Roman"/>
          <w:b/>
          <w:bCs/>
          <w:color w:val="52525B"/>
          <w:sz w:val="24"/>
          <w:szCs w:val="24"/>
          <w:lang/>
        </w:rPr>
        <w:t> </w:t>
      </w:r>
      <w:r w:rsidRPr="00EE680E">
        <w:rPr>
          <w:rFonts w:ascii="Times New Roman" w:eastAsia="Times New Roman" w:hAnsi="Times New Roman"/>
          <w:color w:val="52525B"/>
          <w:sz w:val="24"/>
          <w:szCs w:val="24"/>
          <w:lang/>
        </w:rPr>
        <w:t>у складу са начелима и етичким правилима у наставном и научном раду наведеним у Кодексу професионалне етике Универзитета у Београду (2016):</w:t>
      </w:r>
    </w:p>
    <w:p w:rsidR="00EE680E" w:rsidRPr="00EE680E" w:rsidRDefault="00EE680E" w:rsidP="00EE680E">
      <w:pPr>
        <w:numPr>
          <w:ilvl w:val="0"/>
          <w:numId w:val="8"/>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Принцип чувања пословне и службене тајне: </w:t>
      </w:r>
      <w:r w:rsidRPr="00EE680E">
        <w:rPr>
          <w:rFonts w:ascii="Times New Roman" w:eastAsia="Times New Roman" w:hAnsi="Times New Roman"/>
          <w:color w:val="52525B"/>
          <w:sz w:val="24"/>
          <w:szCs w:val="24"/>
          <w:lang/>
        </w:rPr>
        <w:t>Приликом употребе ГВИ захтева</w:t>
      </w:r>
      <w:r w:rsidRPr="00EE680E">
        <w:rPr>
          <w:rFonts w:ascii="Times New Roman" w:eastAsia="Times New Roman" w:hAnsi="Times New Roman"/>
          <w:color w:val="52525B"/>
          <w:sz w:val="24"/>
          <w:szCs w:val="24"/>
          <w:lang/>
        </w:rPr>
        <w:t> се</w:t>
      </w:r>
      <w:r w:rsidRPr="00EE680E">
        <w:rPr>
          <w:rFonts w:ascii="Times New Roman" w:eastAsia="Times New Roman" w:hAnsi="Times New Roman"/>
          <w:b/>
          <w:bCs/>
          <w:color w:val="52525B"/>
          <w:sz w:val="24"/>
          <w:szCs w:val="24"/>
          <w:lang/>
        </w:rPr>
        <w:t>  </w:t>
      </w:r>
      <w:r w:rsidRPr="00EE680E">
        <w:rPr>
          <w:rFonts w:ascii="Times New Roman" w:eastAsia="Times New Roman" w:hAnsi="Times New Roman"/>
          <w:b/>
          <w:bCs/>
          <w:color w:val="52525B"/>
          <w:sz w:val="24"/>
          <w:szCs w:val="24"/>
          <w:lang/>
        </w:rPr>
        <w:t>уздржавање од радњи </w:t>
      </w:r>
      <w:r w:rsidRPr="00EE680E">
        <w:rPr>
          <w:rFonts w:ascii="Times New Roman" w:eastAsia="Times New Roman" w:hAnsi="Times New Roman"/>
          <w:color w:val="52525B"/>
          <w:sz w:val="24"/>
          <w:szCs w:val="24"/>
          <w:lang/>
        </w:rPr>
        <w:t>које би могли угрозити пословање Факултета и партнера, повредом дужности поверљивости која проилзлази из законског оквира или уговорних обавеза.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о    Етичка употреба АИ: Промовише етичку употребу технологије, посебно у светлу све веће забринутости о утицају АИ на приватност и сигурност. Јасне смернице штите не само институцију и њене партнере, већ и појединце чији се подаци обрађују.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Спречавање злоупотребе: У свету где су подаци нови облик валуте, заштита кључних информација од неауторизованог приступа, крађе или злоупотребе постаје примарни приоритет за сваку организацију.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Одржавање поверења: Институције које успешно заштите поверљиве информације стичу и одржавају поверење својих студената, особља, и пословних партнера. Ово је посебно важно у образовном сектору, где су интегритет и репутација од суштинског значаја.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Укључивање овог принципа у смернице за употребу ГВИ одражава преданост факултета сигурности, етици, и законским обавезама, постављајући снажне темеље за одговорно коришћење АИ технологија. Ово не само да штити факултет и његове партнере, већ и промовише културу одговорности и транспарентности међу корисницима ГВИ.</w:t>
      </w:r>
    </w:p>
    <w:p w:rsidR="00EE680E" w:rsidRPr="00EE680E" w:rsidRDefault="00EE680E" w:rsidP="00EE680E">
      <w:pPr>
        <w:numPr>
          <w:ilvl w:val="0"/>
          <w:numId w:val="9"/>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Аутономија наставног рада научно-истраживачког рада</w:t>
      </w:r>
      <w:r w:rsidRPr="00EE680E">
        <w:rPr>
          <w:rFonts w:ascii="Times New Roman" w:eastAsia="Times New Roman" w:hAnsi="Times New Roman"/>
          <w:color w:val="52525B"/>
          <w:sz w:val="24"/>
          <w:szCs w:val="24"/>
          <w:lang/>
        </w:rPr>
        <w:t>. Као и до сада, одговорност наставника је да обезбеди испуњење циљева и исхода учења дефинисаних картоном предмета, без обзира да ли се, и у којој мери, користи ГВИ</w:t>
      </w:r>
      <w:r w:rsidRPr="00EE680E">
        <w:rPr>
          <w:rFonts w:ascii="Times New Roman" w:eastAsia="Times New Roman" w:hAnsi="Times New Roman"/>
          <w:color w:val="52525B"/>
          <w:sz w:val="24"/>
          <w:szCs w:val="24"/>
          <w:lang/>
        </w:rPr>
        <w:t>,  </w:t>
      </w:r>
      <w:r w:rsidRPr="00EE680E">
        <w:rPr>
          <w:rFonts w:ascii="Times New Roman" w:eastAsia="Times New Roman" w:hAnsi="Times New Roman"/>
          <w:color w:val="52525B"/>
          <w:sz w:val="24"/>
          <w:szCs w:val="24"/>
          <w:lang/>
        </w:rPr>
        <w:t>уз поштовање моралних и правних норми и начел</w:t>
      </w:r>
      <w:r w:rsidRPr="00EE680E">
        <w:rPr>
          <w:rFonts w:ascii="Times New Roman" w:eastAsia="Times New Roman" w:hAnsi="Times New Roman"/>
          <w:color w:val="52525B"/>
          <w:sz w:val="24"/>
          <w:szCs w:val="24"/>
          <w:lang/>
        </w:rPr>
        <w:t>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Принцип аутономије наставног и научно-истраживачког рада у вези са дефинисањем нивоа и детаља дозвољене употребе ГВИ је веома важан и користан приступ из више разлога: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Специфичност дисциплина: Свака академска дисциплина има своје посебности, које могу захтевати прилагођавање употребе технологија као што је ГВИ. Дајући наставницима могућност да дефинишу дозвољене употребе ГВИ, омогућава се флексибилност која узима у обзир те специфичности.</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xml:space="preserve">о    Експертиза наставника: Наставници су експерти у својим областима и најбоље разумеју потребе и могућности својих предмета у контексту ГВИ. Овај приступ </w:t>
      </w:r>
      <w:r w:rsidRPr="00EE680E">
        <w:rPr>
          <w:rFonts w:ascii="Times New Roman" w:eastAsia="Times New Roman" w:hAnsi="Times New Roman"/>
          <w:color w:val="52525B"/>
          <w:sz w:val="24"/>
          <w:szCs w:val="24"/>
          <w:lang/>
        </w:rPr>
        <w:lastRenderedPageBreak/>
        <w:t>користи њихово стручно знање за оптимизацију коришћења ГВИ у настави и истраживањима.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Иновативност у настави: Аутономија може подстаћи наставнике да иновативно размишљају о коришћењу ГВИ у својим дисциплинама, што може довести до нових и побољшаних метода поучавања и истраживања.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Одговорност и разумевање: Наставници који активно учествују у дефинисању смерница за употребу ГВИ вероватније ће развити дубоко разумевање потенцијалних предности и ризика технологије, чиме се повећава одговорност у њеном коришћењу.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Придржавање општих принципа: Овај приступ омогућава прилагођавање уз истовремено одржавање усклађености са општим принципима и стандардима факултета, што гарантује да ће све употребе ГВИ подржавати академски интегритет, етику, транспарентност, доступност, једнакост и инклузивност.</w:t>
      </w:r>
    </w:p>
    <w:p w:rsidR="00EE680E" w:rsidRPr="00EE680E" w:rsidRDefault="00EE680E" w:rsidP="00EE680E">
      <w:pPr>
        <w:numPr>
          <w:ilvl w:val="0"/>
          <w:numId w:val="10"/>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Доступност, једнакост и инклузивност: </w:t>
      </w:r>
      <w:r w:rsidRPr="00EE680E">
        <w:rPr>
          <w:rFonts w:ascii="Times New Roman" w:eastAsia="Times New Roman" w:hAnsi="Times New Roman"/>
          <w:color w:val="52525B"/>
          <w:sz w:val="24"/>
          <w:szCs w:val="24"/>
          <w:lang/>
        </w:rPr>
        <w:t>Осигурати да све технологије генеративне вештачке интелигенције (ГВИ) буду једнако доступне свим корисницима, уз активну промоцију инклузивности и обезбеђивање једнаких образовних шанси за све студенте</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 </w:t>
      </w: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4.</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Недозвољене употребе ГВИ</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Недозвољене употребе ГВИ представљају активности које се не уклапају у оквире дефинисаних општих принципа дозвољене употребе ГВИ. Ове активности не само да подразумевају кршење општих принципа дозвољеног коришћења ГВИ, већ могу значајно утицати на кредибилитет и интегритет академске и шире заједнице.</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У наставку се налази неискључива листа недозвољене употребе ГВИ:</w:t>
      </w:r>
    </w:p>
    <w:p w:rsidR="00EE680E" w:rsidRPr="00EE680E" w:rsidRDefault="00EE680E" w:rsidP="00EE680E">
      <w:pPr>
        <w:numPr>
          <w:ilvl w:val="0"/>
          <w:numId w:val="11"/>
        </w:numPr>
        <w:tabs>
          <w:tab w:val="clear" w:pos="720"/>
          <w:tab w:val="num" w:pos="270"/>
        </w:tabs>
        <w:spacing w:before="100" w:beforeAutospacing="1" w:after="100" w:afterAutospacing="1" w:line="450" w:lineRule="atLeast"/>
        <w:ind w:left="180" w:hanging="54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Кршење правила академског интегритета</w:t>
      </w:r>
      <w:r w:rsidRPr="00EE680E">
        <w:rPr>
          <w:rFonts w:ascii="Times New Roman" w:eastAsia="Times New Roman" w:hAnsi="Times New Roman"/>
          <w:color w:val="52525B"/>
          <w:sz w:val="24"/>
          <w:szCs w:val="24"/>
          <w:lang/>
        </w:rPr>
        <w:t>, што укључује:</w:t>
      </w:r>
    </w:p>
    <w:p w:rsidR="00EE680E" w:rsidRPr="00EE680E" w:rsidRDefault="00EE680E" w:rsidP="00EE680E">
      <w:pPr>
        <w:numPr>
          <w:ilvl w:val="1"/>
          <w:numId w:val="11"/>
        </w:numPr>
        <w:tabs>
          <w:tab w:val="clear" w:pos="1440"/>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Плагијаризам</w:t>
      </w:r>
      <w:r w:rsidRPr="00EE680E">
        <w:rPr>
          <w:rFonts w:ascii="Times New Roman" w:eastAsia="Times New Roman" w:hAnsi="Times New Roman"/>
          <w:color w:val="52525B"/>
          <w:sz w:val="24"/>
          <w:szCs w:val="24"/>
          <w:lang/>
        </w:rPr>
        <w:t>: коришћење туђих идеја, речи или радова без одговарајућег признавања или цитирања.</w:t>
      </w:r>
    </w:p>
    <w:p w:rsidR="00EE680E" w:rsidRPr="00EE680E" w:rsidRDefault="00EE680E" w:rsidP="00EE680E">
      <w:pPr>
        <w:numPr>
          <w:ilvl w:val="1"/>
          <w:numId w:val="11"/>
        </w:numPr>
        <w:tabs>
          <w:tab w:val="clear" w:pos="1440"/>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lastRenderedPageBreak/>
        <w:t>Лажно ауторство</w:t>
      </w:r>
      <w:r w:rsidRPr="00EE680E">
        <w:rPr>
          <w:rFonts w:ascii="Times New Roman" w:eastAsia="Times New Roman" w:hAnsi="Times New Roman"/>
          <w:color w:val="52525B"/>
          <w:sz w:val="24"/>
          <w:szCs w:val="24"/>
          <w:lang/>
        </w:rPr>
        <w:t>: приписивање ауторства особи која није допринела раду или тврдње о ауторству над радом који није индивидуално креиран.</w:t>
      </w:r>
    </w:p>
    <w:p w:rsidR="00EE680E" w:rsidRPr="00EE680E" w:rsidRDefault="00EE680E" w:rsidP="00EE680E">
      <w:pPr>
        <w:numPr>
          <w:ilvl w:val="1"/>
          <w:numId w:val="11"/>
        </w:numPr>
        <w:tabs>
          <w:tab w:val="clear" w:pos="1440"/>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Измишљање и кривотворење података и резултата</w:t>
      </w:r>
      <w:r w:rsidRPr="00EE680E">
        <w:rPr>
          <w:rFonts w:ascii="Times New Roman" w:eastAsia="Times New Roman" w:hAnsi="Times New Roman"/>
          <w:color w:val="52525B"/>
          <w:sz w:val="24"/>
          <w:szCs w:val="24"/>
          <w:lang/>
        </w:rPr>
        <w:t>: стварање неистинитих података или алтерација постојећих података и резултата како би се погрешно представила истраживања.</w:t>
      </w:r>
    </w:p>
    <w:p w:rsidR="00EE680E" w:rsidRPr="00EE680E" w:rsidRDefault="00EE680E" w:rsidP="00EE680E">
      <w:pPr>
        <w:numPr>
          <w:ilvl w:val="1"/>
          <w:numId w:val="11"/>
        </w:numPr>
        <w:tabs>
          <w:tab w:val="clear" w:pos="1440"/>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Генерисање и ширење лажних садржаја</w:t>
      </w:r>
      <w:r w:rsidRPr="00EE680E">
        <w:rPr>
          <w:rFonts w:ascii="Times New Roman" w:eastAsia="Times New Roman" w:hAnsi="Times New Roman"/>
          <w:color w:val="52525B"/>
          <w:sz w:val="24"/>
          <w:szCs w:val="24"/>
          <w:lang/>
        </w:rPr>
        <w:t>: употреба ГВИ за креирање и дистрибуцију информација које су обмањујуће или неистините, потенцијално ширећи дезинформације.</w:t>
      </w:r>
    </w:p>
    <w:p w:rsidR="00EE680E" w:rsidRPr="00EE680E" w:rsidRDefault="00EE680E" w:rsidP="00EE680E">
      <w:pPr>
        <w:numPr>
          <w:ilvl w:val="0"/>
          <w:numId w:val="11"/>
        </w:numPr>
        <w:tabs>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Кршење етичких норми</w:t>
      </w:r>
      <w:r w:rsidRPr="00EE680E">
        <w:rPr>
          <w:rFonts w:ascii="Times New Roman" w:eastAsia="Times New Roman" w:hAnsi="Times New Roman"/>
          <w:color w:val="52525B"/>
          <w:sz w:val="24"/>
          <w:szCs w:val="24"/>
          <w:lang/>
        </w:rPr>
        <w:t>, што подразумева активности које нарушавају моралне и етичке кодексе понашања унутар и изван академске заједнице, укључујући, али не ограничавајући се на, дискриминацију, узнемиравање и злоупотребу података.</w:t>
      </w:r>
    </w:p>
    <w:p w:rsidR="00EE680E" w:rsidRPr="00EE680E" w:rsidRDefault="00EE680E" w:rsidP="00EE680E">
      <w:pPr>
        <w:numPr>
          <w:ilvl w:val="0"/>
          <w:numId w:val="11"/>
        </w:numPr>
        <w:tabs>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Кршење ауторских права</w:t>
      </w:r>
      <w:r w:rsidRPr="00EE680E">
        <w:rPr>
          <w:rFonts w:ascii="Times New Roman" w:eastAsia="Times New Roman" w:hAnsi="Times New Roman"/>
          <w:color w:val="52525B"/>
          <w:sz w:val="24"/>
          <w:szCs w:val="24"/>
          <w:lang/>
        </w:rPr>
        <w:t>, што се односи на неовлашћено коришћење заштићеног садржаја без дозволе власника ауторских права, што може укључивати репродукцију, дистрибуцију, извођење или приказивање таквог садржаја.</w:t>
      </w:r>
    </w:p>
    <w:p w:rsidR="00EE680E" w:rsidRPr="00EE680E" w:rsidRDefault="00EE680E" w:rsidP="00EE680E">
      <w:pPr>
        <w:numPr>
          <w:ilvl w:val="0"/>
          <w:numId w:val="11"/>
        </w:numPr>
        <w:tabs>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Уношење у промпт било којих података или садржаја који представљају пословну или службену тајну</w:t>
      </w:r>
      <w:r w:rsidRPr="00EE680E">
        <w:rPr>
          <w:rFonts w:ascii="Times New Roman" w:eastAsia="Times New Roman" w:hAnsi="Times New Roman"/>
          <w:color w:val="52525B"/>
          <w:sz w:val="24"/>
          <w:szCs w:val="24"/>
          <w:lang/>
        </w:rPr>
        <w:t> или на било који начин могу угрозити пословање неког привредног друштва или појединца. Ово укључује, али није ограничено на, осетљиве информације које, ако би биле откривене, могле би нанети штету појединцима, организацијама или националној безбедности.</w:t>
      </w:r>
    </w:p>
    <w:p w:rsidR="00EE680E" w:rsidRPr="00EE680E" w:rsidRDefault="00EE680E" w:rsidP="00EE680E">
      <w:pPr>
        <w:numPr>
          <w:ilvl w:val="0"/>
          <w:numId w:val="11"/>
        </w:numPr>
        <w:tabs>
          <w:tab w:val="num" w:pos="180"/>
        </w:tabs>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Било које активности које компромитују етичке смернице и академски интегритет</w:t>
      </w:r>
      <w:r w:rsidRPr="00EE680E">
        <w:rPr>
          <w:rFonts w:ascii="Times New Roman" w:eastAsia="Times New Roman" w:hAnsi="Times New Roman"/>
          <w:color w:val="52525B"/>
          <w:sz w:val="24"/>
          <w:szCs w:val="24"/>
          <w:lang/>
        </w:rPr>
        <w:t>, укључујући поступке који подривају основне вредности поштења, транспарентности, фер плеја и одговорности које су кључне за одржавање повјерења и интегритета у академском и професионалном окружењу, као што су:</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Употреба ГВИ за стварање дискриминишућег садржаја</w:t>
      </w:r>
      <w:r w:rsidRPr="00EE680E">
        <w:rPr>
          <w:rFonts w:ascii="Times New Roman" w:eastAsia="Times New Roman" w:hAnsi="Times New Roman"/>
          <w:color w:val="52525B"/>
          <w:sz w:val="24"/>
          <w:szCs w:val="24"/>
          <w:lang/>
        </w:rPr>
        <w:t>: Коришћење ГВИ алата за креирање садржаја који промовише или подстиче дискриминацију на основу расе, пола, сексуалне оријентације, религије, националности, инвалидитета или било које друге заштићене категорије.</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Манипулација оценама или академским списима</w:t>
      </w:r>
      <w:r w:rsidRPr="00EE680E">
        <w:rPr>
          <w:rFonts w:ascii="Times New Roman" w:eastAsia="Times New Roman" w:hAnsi="Times New Roman"/>
          <w:color w:val="52525B"/>
          <w:sz w:val="24"/>
          <w:szCs w:val="24"/>
          <w:lang/>
        </w:rPr>
        <w:t>: Коришћење ГВИ алата за неовлашћену измену оцена, академских списа или сертификата са циљем побољшања академског статуса или стицања незаслужених академских квалификација.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о    </w:t>
      </w:r>
      <w:r w:rsidRPr="00EE680E">
        <w:rPr>
          <w:rFonts w:ascii="Times New Roman" w:eastAsia="Times New Roman" w:hAnsi="Times New Roman"/>
          <w:i/>
          <w:iCs/>
          <w:color w:val="52525B"/>
          <w:sz w:val="24"/>
          <w:szCs w:val="24"/>
          <w:lang/>
        </w:rPr>
        <w:t>Стварање и ширење деепфаке садржаја</w:t>
      </w:r>
      <w:r w:rsidRPr="00EE680E">
        <w:rPr>
          <w:rFonts w:ascii="Times New Roman" w:eastAsia="Times New Roman" w:hAnsi="Times New Roman"/>
          <w:color w:val="52525B"/>
          <w:sz w:val="24"/>
          <w:szCs w:val="24"/>
          <w:lang/>
        </w:rPr>
        <w:t>: Употреба ГВИ за креирање високо реалистичних, али лажних аудиовизуелних материјала који могу бити искоришћени за обману, клевету или узнемиравање појединаца.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Аутоматизовано генерисање злонамерног софтвера или хакерских алата</w:t>
      </w:r>
      <w:r w:rsidRPr="00EE680E">
        <w:rPr>
          <w:rFonts w:ascii="Times New Roman" w:eastAsia="Times New Roman" w:hAnsi="Times New Roman"/>
          <w:color w:val="52525B"/>
          <w:sz w:val="24"/>
          <w:szCs w:val="24"/>
          <w:lang/>
        </w:rPr>
        <w:t>: Употреба ГВИ у сврху креирања софтвера дизајнираног да наруши безбедност информационих система, украде осетљиве информације, или на други начин наруши интегритет и приватност појединаца и организација.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Неовлашћено прикупљање или анализа података</w:t>
      </w:r>
      <w:r w:rsidRPr="00EE680E">
        <w:rPr>
          <w:rFonts w:ascii="Times New Roman" w:eastAsia="Times New Roman" w:hAnsi="Times New Roman"/>
          <w:color w:val="52525B"/>
          <w:sz w:val="24"/>
          <w:szCs w:val="24"/>
          <w:lang/>
        </w:rPr>
        <w:t>: Употреба ГВИ алата за прикупљање, обраду или анализу података без сагласности власника тих података, што може укључивати неовлашћено скенирање мрежа или система за прикупљање података.</w:t>
      </w:r>
    </w:p>
    <w:p w:rsidR="00EE680E" w:rsidRPr="00EE680E" w:rsidRDefault="00EE680E" w:rsidP="00EE680E">
      <w:pPr>
        <w:spacing w:before="100" w:beforeAutospacing="1" w:after="100" w:afterAutospacing="1" w:line="450" w:lineRule="atLeast"/>
        <w:ind w:left="18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о    </w:t>
      </w:r>
      <w:r w:rsidRPr="00EE680E">
        <w:rPr>
          <w:rFonts w:ascii="Times New Roman" w:eastAsia="Times New Roman" w:hAnsi="Times New Roman"/>
          <w:i/>
          <w:iCs/>
          <w:color w:val="52525B"/>
          <w:sz w:val="24"/>
          <w:szCs w:val="24"/>
          <w:lang/>
        </w:rPr>
        <w:t>Генерисање садржаја који подрива академску дискусију или критичко мишљење</w:t>
      </w:r>
      <w:r w:rsidRPr="00EE680E">
        <w:rPr>
          <w:rFonts w:ascii="Times New Roman" w:eastAsia="Times New Roman" w:hAnsi="Times New Roman"/>
          <w:color w:val="52525B"/>
          <w:sz w:val="24"/>
          <w:szCs w:val="24"/>
          <w:lang/>
        </w:rPr>
        <w:t>: Употреба ГВИ за генерисање радова, есеја или истраживања која су намерно дизајнирана да обману, изазову контроверзе без основе или на други начин наруше интегритет академског дијалога.</w:t>
      </w:r>
    </w:p>
    <w:p w:rsidR="00EE680E" w:rsidRPr="00EE680E" w:rsidRDefault="00EE680E" w:rsidP="00EE680E">
      <w:pPr>
        <w:numPr>
          <w:ilvl w:val="0"/>
          <w:numId w:val="12"/>
        </w:numPr>
        <w:spacing w:before="100" w:beforeAutospacing="1" w:after="100" w:afterAutospacing="1" w:line="450" w:lineRule="atLeast"/>
        <w:ind w:left="-360" w:firstLine="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Други случајеви употребе ГВИ који су недозвољени у складу са правним и етичким оквиром.</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Дефинисање и јасно разграничење недозвољених употреба ГВИ од суштинског је значаја за одржавање високих стандарда академског и професионалног понашања, као и за заштиту права и добробити свих укључених страна. Овим се осигурава да иновације које ГВИ доноси буду коришћене на етички одговоран начин који промовише интегритет и транспарентност у свим областима примене.</w:t>
      </w: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5.</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Образовне смернице</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Учење и вештине</w:t>
      </w:r>
      <w:r w:rsidRPr="00EE680E">
        <w:rPr>
          <w:rFonts w:ascii="Times New Roman" w:eastAsia="Times New Roman" w:hAnsi="Times New Roman"/>
          <w:color w:val="52525B"/>
          <w:sz w:val="24"/>
          <w:szCs w:val="24"/>
          <w:lang/>
        </w:rPr>
        <w:t>: Охрабривати развој критичког размишљања и дигиталних вештина међу студентима и наставницима кроз коришћење ГВИ.</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Адаптација наставног плана</w:t>
      </w:r>
      <w:r w:rsidRPr="00EE680E">
        <w:rPr>
          <w:rFonts w:ascii="Times New Roman" w:eastAsia="Times New Roman" w:hAnsi="Times New Roman"/>
          <w:color w:val="52525B"/>
          <w:sz w:val="24"/>
          <w:szCs w:val="24"/>
          <w:lang/>
        </w:rPr>
        <w:t>: Размотрити интеграцију ГВИ у наставне планове и програме како би се студентима пружило практично искуство са овом технологијом.</w:t>
      </w:r>
    </w:p>
    <w:p w:rsidR="00EE680E" w:rsidRPr="00EE680E" w:rsidRDefault="00EE680E" w:rsidP="00EE680E">
      <w:pPr>
        <w:spacing w:before="100" w:beforeAutospacing="1" w:after="100" w:afterAutospacing="1" w:line="450" w:lineRule="atLeast"/>
        <w:ind w:left="-360"/>
        <w:jc w:val="lef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lastRenderedPageBreak/>
        <w:t> </w:t>
      </w: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6.</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Имплементација и надзор</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За ефикасну имплементацију смерница, важно је:</w:t>
      </w:r>
    </w:p>
    <w:p w:rsidR="00EE680E" w:rsidRPr="00EE680E" w:rsidRDefault="00EE680E" w:rsidP="00EE680E">
      <w:pPr>
        <w:numPr>
          <w:ilvl w:val="0"/>
          <w:numId w:val="12"/>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Укључивање заинтересованих страна: Укључите студенте и ненаставно особље ФОН-а у развој и ревизију смерница како бисте осигурали да буду релевантне и практичне.</w:t>
      </w:r>
    </w:p>
    <w:p w:rsidR="00EE680E" w:rsidRPr="00EE680E" w:rsidRDefault="00EE680E" w:rsidP="00EE680E">
      <w:pPr>
        <w:numPr>
          <w:ilvl w:val="0"/>
          <w:numId w:val="12"/>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Обука у циљу правилног информисања и јачања свести о Смерницама међу студентима и особљем (наставно и vannastavno).</w:t>
      </w:r>
    </w:p>
    <w:p w:rsidR="00EE680E" w:rsidRPr="00EE680E" w:rsidRDefault="00EE680E" w:rsidP="00EE680E">
      <w:pPr>
        <w:numPr>
          <w:ilvl w:val="0"/>
          <w:numId w:val="12"/>
        </w:numPr>
        <w:spacing w:before="100" w:beforeAutospacing="1" w:after="100" w:afterAutospacing="1" w:line="450" w:lineRule="atLeast"/>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         Успостављање механизма за надзор и ревизију како би се осигурало да се смерница адекватно примењује и ажурира у складу са технолошким развојем и променама у регулаторним оквирима.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i/>
          <w:iCs/>
          <w:color w:val="52525B"/>
          <w:sz w:val="24"/>
          <w:szCs w:val="24"/>
          <w:lang/>
        </w:rPr>
        <w:t>Будуће акције:</w:t>
      </w:r>
      <w:r w:rsidRPr="00EE680E">
        <w:rPr>
          <w:rFonts w:ascii="Times New Roman" w:eastAsia="Times New Roman" w:hAnsi="Times New Roman"/>
          <w:color w:val="52525B"/>
          <w:sz w:val="24"/>
          <w:szCs w:val="24"/>
          <w:lang/>
        </w:rPr>
        <w:t> Упознавање наставника и студената ФОН-а са садржајем документа релевантних за академски интегритет и етичке смернице на високошколским установама у Србији, укључујући и </w:t>
      </w:r>
      <w:bookmarkStart w:id="6" w:name="_Hlk162959305"/>
      <w:r w:rsidRPr="00EE680E">
        <w:rPr>
          <w:rFonts w:ascii="Times New Roman" w:eastAsia="Times New Roman" w:hAnsi="Times New Roman"/>
          <w:color w:val="DC2626"/>
          <w:sz w:val="24"/>
          <w:szCs w:val="24"/>
          <w:lang/>
        </w:rPr>
        <w:t>специфичне правилнике Универзитета у Београду, као и националне смернице за вештачку интелигенцију (Табела 1.).</w:t>
      </w:r>
      <w:bookmarkEnd w:id="6"/>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rPr>
      </w:pPr>
      <w:r w:rsidRPr="00EE680E">
        <w:rPr>
          <w:rFonts w:ascii="Times New Roman" w:eastAsia="Times New Roman" w:hAnsi="Times New Roman"/>
          <w:b/>
          <w:bCs/>
          <w:color w:val="52525B"/>
          <w:sz w:val="24"/>
          <w:szCs w:val="24"/>
          <w:lang/>
        </w:rPr>
        <w:t>7.</w:t>
      </w:r>
      <w:r w:rsidRPr="00EE680E">
        <w:rPr>
          <w:rFonts w:ascii="Times New Roman" w:eastAsia="Times New Roman" w:hAnsi="Times New Roman"/>
          <w:color w:val="52525B"/>
          <w:sz w:val="24"/>
          <w:szCs w:val="24"/>
          <w:lang/>
        </w:rPr>
        <w:t>     </w:t>
      </w:r>
      <w:r w:rsidRPr="00EE680E">
        <w:rPr>
          <w:rFonts w:ascii="Times New Roman" w:eastAsia="Times New Roman" w:hAnsi="Times New Roman"/>
          <w:b/>
          <w:bCs/>
          <w:color w:val="52525B"/>
          <w:sz w:val="24"/>
          <w:szCs w:val="24"/>
          <w:lang/>
        </w:rPr>
        <w:t>Казнена политика</w:t>
      </w:r>
    </w:p>
    <w:p w:rsidR="00EE680E" w:rsidRPr="00EE680E" w:rsidRDefault="00EE680E" w:rsidP="00EE680E">
      <w:pPr>
        <w:spacing w:before="100" w:beforeAutospacing="1" w:after="100" w:afterAutospacing="1" w:line="450" w:lineRule="atLeast"/>
        <w:ind w:left="-360"/>
        <w:rPr>
          <w:rFonts w:ascii="Times New Roman" w:eastAsia="Times New Roman" w:hAnsi="Times New Roman"/>
          <w:color w:val="52525B"/>
          <w:sz w:val="24"/>
          <w:szCs w:val="24"/>
        </w:rPr>
      </w:pPr>
      <w:r w:rsidRPr="00EE680E">
        <w:rPr>
          <w:rFonts w:ascii="Times New Roman" w:eastAsia="Times New Roman" w:hAnsi="Times New Roman"/>
          <w:color w:val="52525B"/>
          <w:sz w:val="24"/>
          <w:szCs w:val="24"/>
          <w:lang/>
        </w:rPr>
        <w:t>Факултет ће осигурати да се одступања од дозвољење употребе ГВИ, дефинисано овим Смерницама процесуира и санкционише у складу са Правилником о дисциплинској одговорности студената Универзитета у Београду, третирајући недозвољено коришћење ГВИ као тежу повреду дисциплине. </w:t>
      </w:r>
    </w:p>
    <w:p w:rsidR="00EE680E" w:rsidRPr="00EE680E" w:rsidRDefault="00EE680E" w:rsidP="00EE680E">
      <w:pPr>
        <w:spacing w:before="100" w:beforeAutospacing="1" w:after="100" w:afterAutospacing="1" w:line="450" w:lineRule="atLeast"/>
        <w:ind w:left="-360"/>
        <w:jc w:val="center"/>
        <w:rPr>
          <w:rFonts w:ascii="Times New Roman" w:eastAsia="Times New Roman" w:hAnsi="Times New Roman"/>
          <w:color w:val="52525B"/>
          <w:sz w:val="24"/>
          <w:szCs w:val="24"/>
          <w:lang/>
        </w:rPr>
      </w:pPr>
    </w:p>
    <w:p w:rsidR="00EE680E" w:rsidRPr="00EE680E" w:rsidRDefault="00EE680E" w:rsidP="00EE680E">
      <w:pPr>
        <w:ind w:left="-360"/>
        <w:rPr>
          <w:rFonts w:ascii="Times New Roman" w:hAnsi="Times New Roman"/>
          <w:sz w:val="24"/>
          <w:szCs w:val="24"/>
          <w:lang/>
        </w:rPr>
      </w:pPr>
    </w:p>
    <w:sectPr w:rsidR="00EE680E" w:rsidRPr="00EE680E" w:rsidSect="001A7484">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9F" w:rsidRDefault="0094369F" w:rsidP="004C2A9C">
      <w:r>
        <w:separator/>
      </w:r>
    </w:p>
  </w:endnote>
  <w:endnote w:type="continuationSeparator" w:id="0">
    <w:p w:rsidR="0094369F" w:rsidRDefault="0094369F" w:rsidP="004C2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Pr="007D1458" w:rsidRDefault="007D1458" w:rsidP="007D1458">
    <w:pPr>
      <w:pStyle w:val="Footer"/>
      <w:jc w:val="center"/>
      <w:rPr>
        <w:sz w:val="20"/>
        <w:szCs w:val="20"/>
      </w:rPr>
    </w:pPr>
    <w:r w:rsidRPr="007D1458">
      <w:rPr>
        <w:rStyle w:val="PageNumber"/>
        <w:sz w:val="20"/>
        <w:szCs w:val="20"/>
      </w:rPr>
      <w:fldChar w:fldCharType="begin"/>
    </w:r>
    <w:r w:rsidRPr="007D1458">
      <w:rPr>
        <w:rStyle w:val="PageNumber"/>
        <w:sz w:val="20"/>
        <w:szCs w:val="20"/>
      </w:rPr>
      <w:instrText xml:space="preserve"> PAGE </w:instrText>
    </w:r>
    <w:r w:rsidRPr="007D1458">
      <w:rPr>
        <w:rStyle w:val="PageNumber"/>
        <w:sz w:val="20"/>
        <w:szCs w:val="20"/>
      </w:rPr>
      <w:fldChar w:fldCharType="separate"/>
    </w:r>
    <w:r w:rsidR="00EE680E">
      <w:rPr>
        <w:rStyle w:val="PageNumber"/>
        <w:noProof/>
        <w:sz w:val="20"/>
        <w:szCs w:val="20"/>
      </w:rPr>
      <w:t>14</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Pr="007D1458" w:rsidRDefault="007D1458" w:rsidP="007D1458">
    <w:pPr>
      <w:pStyle w:val="Footer"/>
      <w:jc w:val="center"/>
      <w:rPr>
        <w:sz w:val="20"/>
        <w:szCs w:val="20"/>
      </w:rPr>
    </w:pPr>
    <w:r w:rsidRPr="007D1458">
      <w:rPr>
        <w:rStyle w:val="PageNumber"/>
        <w:sz w:val="20"/>
        <w:szCs w:val="20"/>
      </w:rPr>
      <w:fldChar w:fldCharType="begin"/>
    </w:r>
    <w:r w:rsidRPr="007D1458">
      <w:rPr>
        <w:rStyle w:val="PageNumber"/>
        <w:sz w:val="20"/>
        <w:szCs w:val="20"/>
      </w:rPr>
      <w:instrText xml:space="preserve"> PAGE </w:instrText>
    </w:r>
    <w:r w:rsidRPr="007D1458">
      <w:rPr>
        <w:rStyle w:val="PageNumber"/>
        <w:sz w:val="20"/>
        <w:szCs w:val="20"/>
      </w:rPr>
      <w:fldChar w:fldCharType="separate"/>
    </w:r>
    <w:r w:rsidR="00EE680E">
      <w:rPr>
        <w:rStyle w:val="PageNumber"/>
        <w:noProof/>
        <w:sz w:val="20"/>
        <w:szCs w:val="20"/>
      </w:rPr>
      <w:t>15</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7D1458" w:rsidRPr="00975AC0" w:rsidRDefault="007D1458"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7D1458" w:rsidRPr="00975AC0" w:rsidRDefault="007D1458"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9F" w:rsidRDefault="0094369F" w:rsidP="004C2A9C">
      <w:r>
        <w:separator/>
      </w:r>
    </w:p>
  </w:footnote>
  <w:footnote w:type="continuationSeparator" w:id="0">
    <w:p w:rsidR="0094369F" w:rsidRDefault="0094369F"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Default="00EE680E">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Default="00EE680E">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58" w:rsidRDefault="00EE680E"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910" cy="659765"/>
          <wp:effectExtent l="19050" t="0" r="889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910" cy="6597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469"/>
    <w:multiLevelType w:val="multilevel"/>
    <w:tmpl w:val="1A5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6441D"/>
    <w:multiLevelType w:val="multilevel"/>
    <w:tmpl w:val="8F9E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0D0CC9"/>
    <w:multiLevelType w:val="multilevel"/>
    <w:tmpl w:val="4962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EE7B07"/>
    <w:multiLevelType w:val="multilevel"/>
    <w:tmpl w:val="0426A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142E82"/>
    <w:multiLevelType w:val="hybridMultilevel"/>
    <w:tmpl w:val="1AE6415E"/>
    <w:lvl w:ilvl="0" w:tplc="4ABEC702">
      <w:numFmt w:val="bullet"/>
      <w:lvlText w:val=""/>
      <w:lvlJc w:val="left"/>
      <w:pPr>
        <w:ind w:left="0" w:hanging="360"/>
      </w:pPr>
      <w:rPr>
        <w:rFonts w:ascii="Symbol" w:eastAsia="Times New Roman" w:hAnsi="Symbol" w:cs="Times New Roman"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3311F6"/>
    <w:multiLevelType w:val="multilevel"/>
    <w:tmpl w:val="6D003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043DEF"/>
    <w:multiLevelType w:val="multilevel"/>
    <w:tmpl w:val="664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8"/>
  </w:num>
  <w:num w:numId="4">
    <w:abstractNumId w:val="1"/>
  </w:num>
  <w:num w:numId="5">
    <w:abstractNumId w:val="11"/>
  </w:num>
  <w:num w:numId="6">
    <w:abstractNumId w:val="9"/>
  </w:num>
  <w:num w:numId="7">
    <w:abstractNumId w:val="7"/>
  </w:num>
  <w:num w:numId="8">
    <w:abstractNumId w:val="3"/>
  </w:num>
  <w:num w:numId="9">
    <w:abstractNumId w:val="0"/>
  </w:num>
  <w:num w:numId="10">
    <w:abstractNumId w:val="10"/>
  </w:num>
  <w:num w:numId="11">
    <w:abstractNumId w:val="4"/>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3074"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94369F"/>
    <w:rsid w:val="000649C9"/>
    <w:rsid w:val="000B6CA6"/>
    <w:rsid w:val="000D5996"/>
    <w:rsid w:val="00106AFA"/>
    <w:rsid w:val="0015629F"/>
    <w:rsid w:val="001A4D96"/>
    <w:rsid w:val="001A7484"/>
    <w:rsid w:val="0023090E"/>
    <w:rsid w:val="002534A6"/>
    <w:rsid w:val="00261137"/>
    <w:rsid w:val="002C0F3C"/>
    <w:rsid w:val="002C58CE"/>
    <w:rsid w:val="00375E35"/>
    <w:rsid w:val="003D763D"/>
    <w:rsid w:val="00434373"/>
    <w:rsid w:val="00462BBB"/>
    <w:rsid w:val="004A54BF"/>
    <w:rsid w:val="004C2A9C"/>
    <w:rsid w:val="004E1EC2"/>
    <w:rsid w:val="005503D5"/>
    <w:rsid w:val="005A19D3"/>
    <w:rsid w:val="005C0D03"/>
    <w:rsid w:val="00610B0C"/>
    <w:rsid w:val="00646A00"/>
    <w:rsid w:val="00653952"/>
    <w:rsid w:val="0067360E"/>
    <w:rsid w:val="006A179A"/>
    <w:rsid w:val="006D7BE6"/>
    <w:rsid w:val="00700DA6"/>
    <w:rsid w:val="007619EB"/>
    <w:rsid w:val="007A7235"/>
    <w:rsid w:val="007D1458"/>
    <w:rsid w:val="007D25ED"/>
    <w:rsid w:val="007E25FF"/>
    <w:rsid w:val="00871E97"/>
    <w:rsid w:val="00873F93"/>
    <w:rsid w:val="008859C2"/>
    <w:rsid w:val="00887A33"/>
    <w:rsid w:val="008D23B9"/>
    <w:rsid w:val="008F0053"/>
    <w:rsid w:val="008F5138"/>
    <w:rsid w:val="0094369F"/>
    <w:rsid w:val="00956386"/>
    <w:rsid w:val="00966478"/>
    <w:rsid w:val="00975AC0"/>
    <w:rsid w:val="00993A09"/>
    <w:rsid w:val="00997DDB"/>
    <w:rsid w:val="009F549A"/>
    <w:rsid w:val="009F5A85"/>
    <w:rsid w:val="00A240E5"/>
    <w:rsid w:val="00A25960"/>
    <w:rsid w:val="00A50251"/>
    <w:rsid w:val="00A73526"/>
    <w:rsid w:val="00AA1113"/>
    <w:rsid w:val="00B13573"/>
    <w:rsid w:val="00B319B1"/>
    <w:rsid w:val="00B34849"/>
    <w:rsid w:val="00B348DB"/>
    <w:rsid w:val="00B52CF8"/>
    <w:rsid w:val="00B66F46"/>
    <w:rsid w:val="00C07B4C"/>
    <w:rsid w:val="00C6413C"/>
    <w:rsid w:val="00C7228E"/>
    <w:rsid w:val="00CA2AB5"/>
    <w:rsid w:val="00CC07AF"/>
    <w:rsid w:val="00CD3DA5"/>
    <w:rsid w:val="00CD466D"/>
    <w:rsid w:val="00CE57C5"/>
    <w:rsid w:val="00D227C7"/>
    <w:rsid w:val="00D61CDC"/>
    <w:rsid w:val="00D732F6"/>
    <w:rsid w:val="00D81EEF"/>
    <w:rsid w:val="00E14C22"/>
    <w:rsid w:val="00E732EE"/>
    <w:rsid w:val="00E768DD"/>
    <w:rsid w:val="00E962B4"/>
    <w:rsid w:val="00EA69AB"/>
    <w:rsid w:val="00EB42B7"/>
    <w:rsid w:val="00ED6454"/>
    <w:rsid w:val="00EE680E"/>
    <w:rsid w:val="00F040E4"/>
    <w:rsid w:val="00F1710C"/>
    <w:rsid w:val="00F77904"/>
    <w:rsid w:val="00FA2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semiHidden/>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styleId="ListParagraph">
    <w:name w:val="List Paragraph"/>
    <w:basedOn w:val="Normal"/>
    <w:uiPriority w:val="34"/>
    <w:qFormat/>
    <w:rsid w:val="00EE680E"/>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5153474">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695228117">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883441477">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gov.rs/tekst/sr/706/upitnik-za-proveru-ispunjenosti-uslova-iz-etickih-smernica.php" TargetMode="External"/><Relationship Id="rId13" Type="http://schemas.openxmlformats.org/officeDocument/2006/relationships/hyperlink" Target="https://oecd.ai/en/ai-principl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i.gov.rs/tekst/sr/586/eticke-smernice.php" TargetMode="External"/><Relationship Id="rId12" Type="http://schemas.openxmlformats.org/officeDocument/2006/relationships/hyperlink" Target="https://unesdoc.unesco.org/ark:/48223/pf000038045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nd-innovation.ec.europa.eu/document/2b6cf7e5-36ac-41cb-aab5-0d32050143dc_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olitico.eu/wp-content/uploads/2023/06/01/COM-AI-GUIDELINES.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p.europa.eu/en/publication-detail/-/publication/d3988569-0434-11ea-8c1f-01aa75ed71a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01\Desktop\Memorandum\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Memorandum_Nov_Cirilica</Template>
  <TotalTime>12</TotalTime>
  <Pages>15</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25302</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dr2001</dc:creator>
  <cp:lastModifiedBy>dr2001</cp:lastModifiedBy>
  <cp:revision>1</cp:revision>
  <cp:lastPrinted>2010-10-22T13:03:00Z</cp:lastPrinted>
  <dcterms:created xsi:type="dcterms:W3CDTF">2024-09-06T08:10:00Z</dcterms:created>
  <dcterms:modified xsi:type="dcterms:W3CDTF">2024-09-06T08:24:00Z</dcterms:modified>
</cp:coreProperties>
</file>